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15CB8C" w14:textId="2E807184" w:rsidR="00161786" w:rsidRPr="00161786" w:rsidRDefault="00161786" w:rsidP="00DE12AE">
      <w:pPr>
        <w:rPr>
          <w:b/>
          <w:bCs/>
          <w:sz w:val="24"/>
          <w:szCs w:val="24"/>
          <w:lang w:val="uk-UA"/>
        </w:rPr>
      </w:pPr>
      <w:r>
        <w:rPr>
          <w:b/>
          <w:bCs/>
          <w:sz w:val="24"/>
          <w:szCs w:val="24"/>
          <w:lang w:val="uk-UA"/>
        </w:rPr>
        <w:t>Зміни в законодавстві: березень 2025</w:t>
      </w:r>
    </w:p>
    <w:p w14:paraId="74580941" w14:textId="29F556F5" w:rsidR="00DE12AE" w:rsidRPr="00C804EB" w:rsidRDefault="00DE12AE" w:rsidP="00DE12AE">
      <w:pPr>
        <w:rPr>
          <w:b/>
          <w:bCs/>
          <w:sz w:val="24"/>
          <w:szCs w:val="24"/>
        </w:rPr>
      </w:pPr>
      <w:r w:rsidRPr="00C804EB">
        <w:rPr>
          <w:b/>
          <w:bCs/>
          <w:sz w:val="24"/>
          <w:szCs w:val="24"/>
        </w:rPr>
        <w:t>Мінекономіки роз’яснило, як обліковувати та компенсувати роботу у вихідний день</w:t>
      </w:r>
    </w:p>
    <w:p w14:paraId="52E7ED0F" w14:textId="58F6907E" w:rsidR="00DE12AE" w:rsidRPr="00DE12AE" w:rsidRDefault="00DE12AE" w:rsidP="00DE12AE">
      <w:pPr>
        <w:rPr>
          <w:lang w:val="uk-UA"/>
        </w:rPr>
      </w:pPr>
      <w:r>
        <w:t>Роботу у вихідний день компенсують, за згодою сторін, наданням іншого дня відпочинку або у грошовій формі в подвійному розмірі (ст. 72 КЗпП).</w:t>
      </w:r>
    </w:p>
    <w:p w14:paraId="510601F2" w14:textId="061204A6" w:rsidR="00DE12AE" w:rsidRPr="00DE12AE" w:rsidRDefault="00DE12AE" w:rsidP="00DE12AE">
      <w:pPr>
        <w:rPr>
          <w:lang w:val="uk-UA"/>
        </w:rPr>
      </w:pPr>
      <w:r>
        <w:t>Сторони трудового договору, за їхньою згодою, мають визначити спосіб компенсації роботи у вихідний день: надати інший день відпочинку чи оплатити роботу у подвійному розмірі. Роботодавець у наказі має прямо обумовити конкретний спосіб компенсації роботи в такі дні.</w:t>
      </w:r>
    </w:p>
    <w:p w14:paraId="1072BEEB" w14:textId="7C4903BB" w:rsidR="00DE12AE" w:rsidRPr="00DE12AE" w:rsidRDefault="00DE12AE" w:rsidP="00DE12AE">
      <w:pPr>
        <w:rPr>
          <w:lang w:val="uk-UA"/>
        </w:rPr>
      </w:pPr>
      <w:r>
        <w:t>Порядок обліку робочого часу працівників визначає наказ Держстату «Про затвердження типових форм первинної облікової документації зі статистики праці» від 05.12.2008 № 489.</w:t>
      </w:r>
    </w:p>
    <w:p w14:paraId="1D130647" w14:textId="77777777" w:rsidR="00DE12AE" w:rsidRDefault="00DE12AE" w:rsidP="00DE12AE">
      <w:r>
        <w:t>Якщо за роботу у вихідний день працівнику надали інший день відпочинку, на підставі наказу цей день можна табелювати кодом «ІН» — інший невідпрацьований час, передбачений законодавством. Його не оплачують, а за роботу у вихідний день проставляють фактично відпрацьовані години, які оплачують в одинарному розмірі.</w:t>
      </w:r>
    </w:p>
    <w:p w14:paraId="7DE4A183" w14:textId="77777777" w:rsidR="00DE12AE" w:rsidRDefault="00DE12AE" w:rsidP="00DE12AE"/>
    <w:p w14:paraId="63C007C2" w14:textId="77777777" w:rsidR="00DE12AE" w:rsidRPr="00C804EB" w:rsidRDefault="00DE12AE" w:rsidP="00DE12AE">
      <w:pPr>
        <w:rPr>
          <w:sz w:val="24"/>
          <w:szCs w:val="24"/>
          <w:lang w:val="uk-UA"/>
        </w:rPr>
      </w:pPr>
      <w:r w:rsidRPr="00C804EB">
        <w:rPr>
          <w:b/>
          <w:bCs/>
          <w:sz w:val="24"/>
          <w:szCs w:val="24"/>
        </w:rPr>
        <w:t>Триває робота над проєктом типової освітньої програми профільної середньої освіти для ліцеїв академічного спрямування</w:t>
      </w:r>
      <w:r w:rsidRPr="00C804EB">
        <w:rPr>
          <w:sz w:val="24"/>
          <w:szCs w:val="24"/>
        </w:rPr>
        <w:t xml:space="preserve"> </w:t>
      </w:r>
    </w:p>
    <w:p w14:paraId="0DABC634" w14:textId="77777777" w:rsidR="00DE12AE" w:rsidRDefault="00DE12AE" w:rsidP="00DE12AE">
      <w:pPr>
        <w:rPr>
          <w:lang w:val="uk-UA"/>
        </w:rPr>
      </w:pPr>
      <w:r w:rsidRPr="00DE12AE">
        <w:rPr>
          <w:lang w:val="uk-UA"/>
        </w:rPr>
        <w:t>Щоб забезпечити впровадження Державного стандарту профільної середньої освіти, МОН створило робочу групу, яка до 30.04.2025 розроб</w:t>
      </w:r>
      <w:r w:rsidRPr="00DE12AE">
        <w:rPr>
          <w:lang w:val="uk-UA"/>
        </w:rPr>
        <w:softHyphen/>
        <w:t xml:space="preserve">лятиме проєкт типової освітньої програми профільної середньої освіти для ліцеїв академічного спрямування. </w:t>
      </w:r>
      <w:r w:rsidRPr="00DE12AE">
        <w:t>Після цього документ опублікують для громадського обговорення.</w:t>
      </w:r>
    </w:p>
    <w:p w14:paraId="2D634EB5" w14:textId="55CF52E4" w:rsidR="00DE12AE" w:rsidRPr="00C804EB" w:rsidRDefault="00DE12AE" w:rsidP="00DE12AE">
      <w:pPr>
        <w:rPr>
          <w:b/>
          <w:bCs/>
          <w:sz w:val="24"/>
          <w:szCs w:val="24"/>
          <w:lang w:val="uk-UA"/>
        </w:rPr>
      </w:pPr>
      <w:r w:rsidRPr="00DE12AE">
        <w:br/>
      </w:r>
      <w:r w:rsidRPr="00DE12AE">
        <w:br/>
      </w:r>
      <w:r w:rsidRPr="00C804EB">
        <w:rPr>
          <w:b/>
          <w:bCs/>
          <w:sz w:val="24"/>
          <w:szCs w:val="24"/>
        </w:rPr>
        <w:t xml:space="preserve">МОН затвердило перелік із 124 підручників для 8-го класу </w:t>
      </w:r>
    </w:p>
    <w:p w14:paraId="44CE527E" w14:textId="77777777" w:rsidR="00DE12AE" w:rsidRDefault="00DE12AE" w:rsidP="00DE12AE">
      <w:pPr>
        <w:rPr>
          <w:lang w:val="uk-UA"/>
        </w:rPr>
      </w:pPr>
      <w:r w:rsidRPr="00DE12AE">
        <w:rPr>
          <w:lang w:val="uk-UA"/>
        </w:rPr>
        <w:t>124 підручники для 8-го класу закладів загальної середньої освіти пройшли апробацію у 2024/2025 н.</w:t>
      </w:r>
      <w:r w:rsidRPr="00DE12AE">
        <w:t> </w:t>
      </w:r>
      <w:r w:rsidRPr="00DE12AE">
        <w:rPr>
          <w:lang w:val="uk-UA"/>
        </w:rPr>
        <w:t>р. УІРО враховуватиме перелік підручників під час організації конкурсного відбору навчальної літератури, що видають вперше чи повторно за кошти держбюджету.</w:t>
      </w:r>
      <w:r w:rsidRPr="00DE12AE">
        <w:rPr>
          <w:lang w:val="uk-UA"/>
        </w:rPr>
        <w:br/>
      </w:r>
    </w:p>
    <w:p w14:paraId="01DCF4C7" w14:textId="77777777" w:rsidR="00DE12AE" w:rsidRPr="00C804EB" w:rsidRDefault="00DE12AE" w:rsidP="00DE12AE">
      <w:pPr>
        <w:rPr>
          <w:b/>
          <w:bCs/>
          <w:sz w:val="24"/>
          <w:szCs w:val="24"/>
          <w:lang w:val="uk-UA"/>
        </w:rPr>
      </w:pPr>
      <w:r w:rsidRPr="00C804EB">
        <w:rPr>
          <w:b/>
          <w:bCs/>
          <w:sz w:val="24"/>
          <w:szCs w:val="24"/>
          <w:lang w:val="uk-UA"/>
        </w:rPr>
        <w:t>Золоті та срібні медалі випускникам-відмінникам більше не виготовлятимуть</w:t>
      </w:r>
    </w:p>
    <w:p w14:paraId="697EF8D2" w14:textId="4F6AEEA8" w:rsidR="00DE12AE" w:rsidRPr="00DE12AE" w:rsidRDefault="00DE12AE" w:rsidP="00DE12AE">
      <w:pPr>
        <w:rPr>
          <w:lang w:val="uk-UA"/>
        </w:rPr>
      </w:pPr>
      <w:r w:rsidRPr="00DE12AE">
        <w:rPr>
          <w:lang w:val="uk-UA"/>
        </w:rPr>
        <w:t>МОН виклало в наказі зміни до низки нормативно-правових актів. Скасовано окрему відзнаку для срібної і золотої медалей. Тепер у документах про загальну середню освіту з’явиться єдиний термін — «з відзнакою».</w:t>
      </w:r>
    </w:p>
    <w:p w14:paraId="2A032FEF" w14:textId="54528E68" w:rsidR="00DE12AE" w:rsidRPr="00DE12AE" w:rsidRDefault="00DE12AE" w:rsidP="00DE12AE">
      <w:pPr>
        <w:rPr>
          <w:lang w:val="uk-UA"/>
        </w:rPr>
      </w:pPr>
      <w:r w:rsidRPr="00DE12AE">
        <w:rPr>
          <w:lang w:val="uk-UA"/>
        </w:rPr>
        <w:t>Причини відмови від золотих і срібних медалей прокоментував Голова Комітету ВРУ з питань освіти, науки та інновацій Сергій Бабак:</w:t>
      </w:r>
    </w:p>
    <w:p w14:paraId="5752BB6A" w14:textId="77777777" w:rsidR="00DE12AE" w:rsidRPr="00DE12AE" w:rsidRDefault="00DE12AE" w:rsidP="00DE12AE">
      <w:pPr>
        <w:pStyle w:val="a7"/>
        <w:numPr>
          <w:ilvl w:val="0"/>
          <w:numId w:val="1"/>
        </w:numPr>
        <w:rPr>
          <w:lang w:val="uk-UA"/>
        </w:rPr>
      </w:pPr>
      <w:r w:rsidRPr="00DE12AE">
        <w:rPr>
          <w:lang w:val="uk-UA"/>
        </w:rPr>
        <w:t>держава витрачає на медалі значну кількість коштів;</w:t>
      </w:r>
    </w:p>
    <w:p w14:paraId="1BECB850" w14:textId="77777777" w:rsidR="00DE12AE" w:rsidRPr="00DE12AE" w:rsidRDefault="00DE12AE" w:rsidP="00DE12AE">
      <w:pPr>
        <w:pStyle w:val="a7"/>
        <w:numPr>
          <w:ilvl w:val="0"/>
          <w:numId w:val="1"/>
        </w:numPr>
        <w:rPr>
          <w:lang w:val="uk-UA"/>
        </w:rPr>
      </w:pPr>
      <w:r w:rsidRPr="00DE12AE">
        <w:rPr>
          <w:lang w:val="uk-UA"/>
        </w:rPr>
        <w:t>процедура замовлення золотих і срібних медалей сприяє недоброчесності;</w:t>
      </w:r>
    </w:p>
    <w:p w14:paraId="172459D7" w14:textId="45F97DAD" w:rsidR="00DE12AE" w:rsidRPr="00DE12AE" w:rsidRDefault="00DE12AE" w:rsidP="00DE12AE">
      <w:pPr>
        <w:pStyle w:val="a7"/>
        <w:numPr>
          <w:ilvl w:val="0"/>
          <w:numId w:val="1"/>
        </w:numPr>
        <w:rPr>
          <w:lang w:val="uk-UA"/>
        </w:rPr>
      </w:pPr>
      <w:r w:rsidRPr="00DE12AE">
        <w:rPr>
          <w:lang w:val="uk-UA"/>
        </w:rPr>
        <w:t>випускники-медалісти не мають ніяких переваг при вступі у заклад вищої освіти.</w:t>
      </w:r>
    </w:p>
    <w:p w14:paraId="68974F6A" w14:textId="77777777" w:rsidR="00DE12AE" w:rsidRDefault="00DE12AE" w:rsidP="00DE12AE">
      <w:pPr>
        <w:rPr>
          <w:lang w:val="uk-UA"/>
        </w:rPr>
      </w:pPr>
      <w:r w:rsidRPr="00DE12AE">
        <w:rPr>
          <w:lang w:val="uk-UA"/>
        </w:rPr>
        <w:t>Сергій Бабак також пояснив: «Ми НЕ відміняємо золоті і срібні медалі. Школи і надалі можуть відзначати своїх найкращих випускників медалями. Ми вважаємо недоцільним витрачати мільйони гривень платників податків на централізоване виготовлення медалей. Впевнені, що засновники шкіл (територіальні громади) зможуть собі дозволити виготовлення медалей своїм найкращим випускникам, якщо захочуть».</w:t>
      </w:r>
    </w:p>
    <w:p w14:paraId="1ED8C418" w14:textId="77777777" w:rsidR="00DE12AE" w:rsidRDefault="00DE12AE" w:rsidP="00DE12AE">
      <w:pPr>
        <w:rPr>
          <w:lang w:val="uk-UA"/>
        </w:rPr>
      </w:pPr>
    </w:p>
    <w:p w14:paraId="019F88F2" w14:textId="7CA1F906" w:rsidR="00DE12AE" w:rsidRPr="00C804EB" w:rsidRDefault="00DE12AE" w:rsidP="00DE12AE">
      <w:pPr>
        <w:rPr>
          <w:b/>
          <w:bCs/>
          <w:sz w:val="24"/>
          <w:szCs w:val="24"/>
          <w:lang w:val="uk-UA"/>
        </w:rPr>
      </w:pPr>
      <w:r w:rsidRPr="00C804EB">
        <w:rPr>
          <w:b/>
          <w:bCs/>
          <w:sz w:val="24"/>
          <w:szCs w:val="24"/>
          <w:lang w:val="uk-UA"/>
        </w:rPr>
        <w:t>В Україні проведуть Всеукраїнський фестиваль «STEM-весна — 2025» і захід «Ми розвиваємо STEM»</w:t>
      </w:r>
    </w:p>
    <w:p w14:paraId="005F0AE0" w14:textId="35E61501" w:rsidR="00DE12AE" w:rsidRPr="00DE12AE" w:rsidRDefault="00DE12AE" w:rsidP="00DE12AE">
      <w:pPr>
        <w:rPr>
          <w:lang w:val="uk-UA"/>
        </w:rPr>
      </w:pPr>
      <w:r w:rsidRPr="00DE12AE">
        <w:rPr>
          <w:lang w:val="uk-UA"/>
        </w:rPr>
        <w:t>Всеукраїнський фестиваль «STEM-весна — 2025» триватиме всю весну. Його мета — ознайомити педагогів з інноваційними освітніми технологіями, необхідними для реалізації концептуальних засад Нової української школи, знайти й підтримати перспективні науково-методичні ідеї розвитку напрямів STEM-освіти в Україні. Відділ STEM-освіти ІМЗО та організаційний комітет фестивалю забезпечить науково-ме­тодичний супровід проведення заходів.</w:t>
      </w:r>
    </w:p>
    <w:p w14:paraId="5930D697" w14:textId="77777777" w:rsidR="00DE12AE" w:rsidRPr="00DE12AE" w:rsidRDefault="00DE12AE" w:rsidP="00DE12AE">
      <w:pPr>
        <w:rPr>
          <w:lang w:val="uk-UA"/>
        </w:rPr>
      </w:pPr>
      <w:r w:rsidRPr="00DE12AE">
        <w:rPr>
          <w:lang w:val="uk-UA"/>
        </w:rPr>
        <w:t>Мета Всеукраїнського заходу «Ми розвиваємо STEM» — поширити інноваційні освітні практики з питань розвитку напрямів STEM-освіти та створити Всеукраїнську мережу закладів, що запроваджують напрями STEM-освіти. Відділ STEM-освіти ІМЗО забезпечить науково-методичний супровід і проведення заходу. Цей захід запланували проводити щорічно — з 2024 по 2027 роки.</w:t>
      </w:r>
    </w:p>
    <w:p w14:paraId="566B509B" w14:textId="56C0A2B3" w:rsidR="00370A89" w:rsidRDefault="00370A89" w:rsidP="00DE12AE">
      <w:pPr>
        <w:rPr>
          <w:lang w:val="uk-UA"/>
        </w:rPr>
      </w:pPr>
    </w:p>
    <w:p w14:paraId="1E1D3247" w14:textId="77777777" w:rsidR="00DE12AE" w:rsidRPr="00C804EB" w:rsidRDefault="00DE12AE" w:rsidP="00DE12AE">
      <w:pPr>
        <w:rPr>
          <w:b/>
          <w:bCs/>
          <w:sz w:val="24"/>
          <w:szCs w:val="24"/>
          <w:lang w:val="uk-UA"/>
        </w:rPr>
      </w:pPr>
      <w:r w:rsidRPr="00C804EB">
        <w:rPr>
          <w:b/>
          <w:bCs/>
          <w:sz w:val="24"/>
          <w:szCs w:val="24"/>
          <w:lang w:val="uk-UA"/>
        </w:rPr>
        <w:t>НАЗК роз’яснило, як застосовувати норми щодо конфлікту інтересів під час спільної роботи близьких осіб</w:t>
      </w:r>
    </w:p>
    <w:p w14:paraId="6A1B6831" w14:textId="3530DF2C" w:rsidR="00DE12AE" w:rsidRPr="00DE12AE" w:rsidRDefault="00DE12AE" w:rsidP="00DE12AE">
      <w:pPr>
        <w:rPr>
          <w:lang w:val="uk-UA"/>
        </w:rPr>
      </w:pPr>
      <w:r w:rsidRPr="00DE12AE">
        <w:rPr>
          <w:lang w:val="uk-UA"/>
        </w:rPr>
        <w:t>Національне агентство з питань запобігання корупції (НАЗК) розробило рекомендації, як застосовувати норми щодо конфлікту інтересів під час спільної роботи близьких осіб і під час реалізації повноважень з оплати праці.</w:t>
      </w:r>
    </w:p>
    <w:p w14:paraId="756E9F04" w14:textId="0BA5E41B" w:rsidR="00DE12AE" w:rsidRPr="00DE12AE" w:rsidRDefault="00DE12AE" w:rsidP="00DE12AE">
      <w:pPr>
        <w:rPr>
          <w:lang w:val="uk-UA"/>
        </w:rPr>
      </w:pPr>
      <w:r w:rsidRPr="00DE12AE">
        <w:rPr>
          <w:lang w:val="uk-UA"/>
        </w:rPr>
        <w:t>Документ містить відповіді на запитання щодо:</w:t>
      </w:r>
    </w:p>
    <w:p w14:paraId="2FD756AA" w14:textId="77777777" w:rsidR="00DE12AE" w:rsidRPr="00DE12AE" w:rsidRDefault="00DE12AE" w:rsidP="00DE12AE">
      <w:pPr>
        <w:pStyle w:val="a7"/>
        <w:numPr>
          <w:ilvl w:val="0"/>
          <w:numId w:val="2"/>
        </w:numPr>
        <w:rPr>
          <w:lang w:val="uk-UA"/>
        </w:rPr>
      </w:pPr>
      <w:r w:rsidRPr="00DE12AE">
        <w:rPr>
          <w:lang w:val="uk-UA"/>
        </w:rPr>
        <w:t>конфлікту інтересів, якщо в особи є підприємства чи корпоративні права;</w:t>
      </w:r>
    </w:p>
    <w:p w14:paraId="7324751F" w14:textId="77777777" w:rsidR="00DE12AE" w:rsidRPr="00DE12AE" w:rsidRDefault="00DE12AE" w:rsidP="00DE12AE">
      <w:pPr>
        <w:pStyle w:val="a7"/>
        <w:numPr>
          <w:ilvl w:val="0"/>
          <w:numId w:val="2"/>
        </w:numPr>
        <w:rPr>
          <w:lang w:val="uk-UA"/>
        </w:rPr>
      </w:pPr>
      <w:r w:rsidRPr="00DE12AE">
        <w:rPr>
          <w:lang w:val="uk-UA"/>
        </w:rPr>
        <w:t>обмежень займатися іншою оплачуваною або підприємницькою діяльністю.</w:t>
      </w:r>
    </w:p>
    <w:p w14:paraId="58AE1D66" w14:textId="77777777" w:rsidR="00DE12AE" w:rsidRPr="00DE12AE" w:rsidRDefault="00DE12AE" w:rsidP="00DE12AE">
      <w:pPr>
        <w:rPr>
          <w:lang w:val="uk-UA"/>
        </w:rPr>
      </w:pPr>
      <w:r w:rsidRPr="00DE12AE">
        <w:rPr>
          <w:lang w:val="uk-UA"/>
        </w:rPr>
        <w:t>Визнали такими, що втратили чинність «Роз’яс­нення щодо наявності / відсутності конфлікту інтересів під час реалізації пов­новажень з окремих питань оплати праці» від 13.06.2022 № 11.</w:t>
      </w:r>
    </w:p>
    <w:p w14:paraId="1162C885" w14:textId="5E800FA6" w:rsidR="00DE12AE" w:rsidRDefault="00DE12AE" w:rsidP="00DE12AE">
      <w:pPr>
        <w:rPr>
          <w:lang w:val="uk-UA"/>
        </w:rPr>
      </w:pPr>
    </w:p>
    <w:p w14:paraId="13BDCA70" w14:textId="77777777" w:rsidR="00C804EB" w:rsidRPr="001B4CFA" w:rsidRDefault="00C804EB" w:rsidP="00C804EB">
      <w:pPr>
        <w:rPr>
          <w:b/>
          <w:bCs/>
          <w:sz w:val="24"/>
          <w:szCs w:val="24"/>
          <w:lang w:val="uk-UA"/>
        </w:rPr>
      </w:pPr>
      <w:r w:rsidRPr="001B4CFA">
        <w:rPr>
          <w:b/>
          <w:bCs/>
          <w:sz w:val="24"/>
          <w:szCs w:val="24"/>
          <w:lang w:val="uk-UA"/>
        </w:rPr>
        <w:t>Робота над законопроєктом щодо призупинення дії трудового договору триває</w:t>
      </w:r>
    </w:p>
    <w:p w14:paraId="730BE3C8" w14:textId="77777777" w:rsidR="00C804EB" w:rsidRPr="001B4CFA" w:rsidRDefault="00C804EB" w:rsidP="00C804EB">
      <w:pPr>
        <w:rPr>
          <w:lang w:val="uk-UA"/>
        </w:rPr>
      </w:pPr>
      <w:r w:rsidRPr="001B4CFA">
        <w:rPr>
          <w:lang w:val="uk-UA"/>
        </w:rPr>
        <w:t>Правовідносини сторін, які призупинили дію трудового договору під час воєнного стану, планують врегулювати. 06.02.2025 у ВРУ зареєстровано проєкт постанови про прийняття за основу проєкту Закону України «Про внесення змін до статей 7 та 13 Закону України «Про організацію трудових відносин в умовах воєнного стану» № 12255-1/П (далі — Законопроєкт № 12255-1).</w:t>
      </w:r>
    </w:p>
    <w:p w14:paraId="2A2E593B" w14:textId="77777777" w:rsidR="00C804EB" w:rsidRPr="001B4CFA" w:rsidRDefault="00C804EB" w:rsidP="00C804EB">
      <w:pPr>
        <w:rPr>
          <w:lang w:val="uk-UA"/>
        </w:rPr>
      </w:pPr>
      <w:r w:rsidRPr="001B4CFA">
        <w:rPr>
          <w:lang w:val="uk-UA"/>
        </w:rPr>
        <w:t>Законопроєкт № 12255-1 розробили, щоб ліквідувати прогалини в правовому регулюванні відносин між роботодавцями та працівниками, з якими призупинили трудовий договір, втратили зв’язок та які перебувають на тимчасово окупованій території.</w:t>
      </w:r>
    </w:p>
    <w:p w14:paraId="4F2203B9" w14:textId="77777777" w:rsidR="00C804EB" w:rsidRPr="001B4CFA" w:rsidRDefault="00C804EB" w:rsidP="00C804EB">
      <w:pPr>
        <w:rPr>
          <w:b/>
          <w:bCs/>
          <w:lang w:val="uk-UA"/>
        </w:rPr>
      </w:pPr>
      <w:r w:rsidRPr="001B4CFA">
        <w:rPr>
          <w:b/>
          <w:bCs/>
          <w:lang w:val="uk-UA"/>
        </w:rPr>
        <w:t>Документ передбачає:</w:t>
      </w:r>
    </w:p>
    <w:p w14:paraId="66F5C17F" w14:textId="77777777" w:rsidR="00C804EB" w:rsidRPr="001B4CFA" w:rsidRDefault="00C804EB" w:rsidP="00C804EB">
      <w:pPr>
        <w:pStyle w:val="a7"/>
        <w:numPr>
          <w:ilvl w:val="0"/>
          <w:numId w:val="3"/>
        </w:numPr>
        <w:rPr>
          <w:lang w:val="uk-UA"/>
        </w:rPr>
      </w:pPr>
      <w:r w:rsidRPr="001B4CFA">
        <w:rPr>
          <w:lang w:val="uk-UA"/>
        </w:rPr>
        <w:t>особливості обміну документами, організації кадрового діловодства та архівного зберігання документів в усіх установах, що розташовані не лише на територіях активних бойових дій, а й на територіях можливих бойових дій;</w:t>
      </w:r>
    </w:p>
    <w:p w14:paraId="7D0D178C" w14:textId="77777777" w:rsidR="00C804EB" w:rsidRPr="001B4CFA" w:rsidRDefault="00C804EB" w:rsidP="00C804EB">
      <w:pPr>
        <w:pStyle w:val="a7"/>
        <w:numPr>
          <w:ilvl w:val="0"/>
          <w:numId w:val="3"/>
        </w:numPr>
        <w:rPr>
          <w:lang w:val="uk-UA"/>
        </w:rPr>
      </w:pPr>
      <w:r w:rsidRPr="001B4CFA">
        <w:rPr>
          <w:lang w:val="uk-UA"/>
        </w:rPr>
        <w:t>обов’язок сторін трудового договору комунікувати між собою та в строк не більше ніж 10 к. дн. та інформувати про зміну своїх контактних даних;</w:t>
      </w:r>
    </w:p>
    <w:p w14:paraId="7A4D6412" w14:textId="77777777" w:rsidR="00C804EB" w:rsidRPr="001B4CFA" w:rsidRDefault="00C804EB" w:rsidP="00C804EB">
      <w:pPr>
        <w:pStyle w:val="a7"/>
        <w:numPr>
          <w:ilvl w:val="0"/>
          <w:numId w:val="3"/>
        </w:numPr>
        <w:rPr>
          <w:lang w:val="uk-UA"/>
        </w:rPr>
      </w:pPr>
      <w:r w:rsidRPr="001B4CFA">
        <w:rPr>
          <w:lang w:val="uk-UA"/>
        </w:rPr>
        <w:t>максимальний сукупний строк призупинення дії трудового договору не більше ніж 90 к. дн. під час воєнного стану;</w:t>
      </w:r>
    </w:p>
    <w:p w14:paraId="0604FD74" w14:textId="77777777" w:rsidR="00C804EB" w:rsidRPr="001B4CFA" w:rsidRDefault="00C804EB" w:rsidP="00C804EB">
      <w:pPr>
        <w:pStyle w:val="a7"/>
        <w:numPr>
          <w:ilvl w:val="0"/>
          <w:numId w:val="3"/>
        </w:numPr>
        <w:rPr>
          <w:lang w:val="uk-UA"/>
        </w:rPr>
      </w:pPr>
      <w:r w:rsidRPr="001B4CFA">
        <w:rPr>
          <w:lang w:val="uk-UA"/>
        </w:rPr>
        <w:lastRenderedPageBreak/>
        <w:t>обов’язок роботодавця у разі припинення призупиненого трудового до­говору — провести розрахунок із працівником, а також видати трудову книжку (за наявності) не пізніше наступного робочого дня після письмової вимоги звільненого працівника.</w:t>
      </w:r>
    </w:p>
    <w:p w14:paraId="087C08CF" w14:textId="77777777" w:rsidR="00C804EB" w:rsidRPr="001B4CFA" w:rsidRDefault="00C804EB" w:rsidP="00C804EB">
      <w:pPr>
        <w:rPr>
          <w:lang w:val="uk-UA"/>
        </w:rPr>
      </w:pPr>
      <w:r w:rsidRPr="001B4CFA">
        <w:rPr>
          <w:lang w:val="uk-UA"/>
        </w:rPr>
        <w:t>Також нормотворці пропонують встановити, що під час і за період призупинення дії трудового договору роботодавець не зобов’язаний виплачувати працівникові зарплати, гарантійних і компенсаційних виплат й забезпечувати умови праці, щоб виконувати роботу, яку передбачають законодавство про працю, колдоговір і угода сторін.</w:t>
      </w:r>
    </w:p>
    <w:p w14:paraId="196AB37C" w14:textId="77777777" w:rsidR="00C804EB" w:rsidRPr="001B4CFA" w:rsidRDefault="00C804EB" w:rsidP="00C804EB">
      <w:pPr>
        <w:rPr>
          <w:lang w:val="uk-UA"/>
        </w:rPr>
      </w:pPr>
    </w:p>
    <w:p w14:paraId="2D745E0F" w14:textId="77777777" w:rsidR="00C804EB" w:rsidRPr="001B4CFA" w:rsidRDefault="00C804EB" w:rsidP="00C804EB">
      <w:pPr>
        <w:rPr>
          <w:lang w:val="uk-UA"/>
        </w:rPr>
      </w:pPr>
      <w:r w:rsidRPr="001B4CFA">
        <w:rPr>
          <w:lang w:val="uk-UA"/>
        </w:rPr>
        <w:t>Якщо Закон ухвалять, з дати, коли набере чинності, він зобов’яже:</w:t>
      </w:r>
    </w:p>
    <w:p w14:paraId="64494043" w14:textId="77777777" w:rsidR="00C804EB" w:rsidRPr="001B4CFA" w:rsidRDefault="00C804EB" w:rsidP="00C804EB">
      <w:pPr>
        <w:pStyle w:val="a7"/>
        <w:numPr>
          <w:ilvl w:val="0"/>
          <w:numId w:val="4"/>
        </w:numPr>
        <w:rPr>
          <w:lang w:val="uk-UA"/>
        </w:rPr>
      </w:pPr>
      <w:r w:rsidRPr="001B4CFA">
        <w:rPr>
          <w:lang w:val="uk-UA"/>
        </w:rPr>
        <w:t>роботодавця — протягом 60 к. дн. уточнити відомості про своє місцезнаходження та інформацію для зв’язку з ним, якщо в Єдиному державному реєстрі юридичних осіб, фізичних осіб-підприємців та громадських формувань розміщена неактуальна інформація;</w:t>
      </w:r>
    </w:p>
    <w:p w14:paraId="693329DF" w14:textId="77777777" w:rsidR="00C804EB" w:rsidRPr="001B4CFA" w:rsidRDefault="00C804EB" w:rsidP="00C804EB">
      <w:pPr>
        <w:pStyle w:val="a7"/>
        <w:numPr>
          <w:ilvl w:val="0"/>
          <w:numId w:val="4"/>
        </w:numPr>
        <w:rPr>
          <w:lang w:val="uk-UA"/>
        </w:rPr>
      </w:pPr>
      <w:r w:rsidRPr="001B4CFA">
        <w:rPr>
          <w:lang w:val="uk-UA"/>
        </w:rPr>
        <w:t>працівників, які в період дії воєнного стану були відсутні на роботі протягом 90 к. дн. поспіль, та/або їхні робочі місця розташовані на тимчасово окупованих територіях — протягом 60 к. дн. надати роботодавцю актуальну інформацію про засоби зв’язку з ними.</w:t>
      </w:r>
    </w:p>
    <w:p w14:paraId="6ADA408D" w14:textId="77777777" w:rsidR="00C804EB" w:rsidRPr="001B4CFA" w:rsidRDefault="00C804EB" w:rsidP="00C804EB">
      <w:pPr>
        <w:rPr>
          <w:b/>
          <w:bCs/>
          <w:lang w:val="uk-UA"/>
        </w:rPr>
      </w:pPr>
      <w:r w:rsidRPr="001B4CFA">
        <w:rPr>
          <w:b/>
          <w:bCs/>
          <w:lang w:val="uk-UA"/>
        </w:rPr>
        <w:t>Лідери профспілок Європи та світу закликали уряд України призупинити обговорення проєкту Трудового кодексу</w:t>
      </w:r>
    </w:p>
    <w:p w14:paraId="51EB5AAE" w14:textId="77777777" w:rsidR="00C804EB" w:rsidRPr="001B4CFA" w:rsidRDefault="00C804EB" w:rsidP="00C804EB">
      <w:pPr>
        <w:rPr>
          <w:lang w:val="uk-UA"/>
        </w:rPr>
      </w:pPr>
      <w:r w:rsidRPr="001B4CFA">
        <w:rPr>
          <w:lang w:val="uk-UA"/>
        </w:rPr>
        <w:t>Уряд має провести консультації з профспілками, щоб Трудовий кодекс (ТК) відповідав міжнародним трудовим стандартам. У нинішньому вигляді проєкт ТК порушує міжнародні трудові стандарти щодо охорони праці, колективних договорів, оплати праці, відпусток, порядку розв’язання колективних трудових спорів. Крім того, проєкт ТК передбачає зробити постійними тимчасові обмеження трудових прав, які запровадили під час воєнного стану.</w:t>
      </w:r>
    </w:p>
    <w:p w14:paraId="4D02AFFC" w14:textId="77777777" w:rsidR="00C804EB" w:rsidRPr="001B4CFA" w:rsidRDefault="00C804EB" w:rsidP="00C804EB">
      <w:pPr>
        <w:rPr>
          <w:lang w:val="uk-UA"/>
        </w:rPr>
      </w:pPr>
      <w:r w:rsidRPr="001B4CFA">
        <w:rPr>
          <w:lang w:val="uk-UA"/>
        </w:rPr>
        <w:t>Документ послабить правовий захист працівників від несправедливого звільнення, згоди на понаднормову роботу; права на соціальне страхування та пенсійне забезпечення; права жінок і молодих працівників; права на гідні умови праці, що стосуються зарплати, пільг, переведення та робочого часу.</w:t>
      </w:r>
    </w:p>
    <w:p w14:paraId="7B262A2A" w14:textId="77777777" w:rsidR="00C804EB" w:rsidRPr="001B4CFA" w:rsidRDefault="00C804EB" w:rsidP="00C804EB">
      <w:pPr>
        <w:rPr>
          <w:lang w:val="uk-UA"/>
        </w:rPr>
      </w:pPr>
      <w:r w:rsidRPr="001B4CFA">
        <w:rPr>
          <w:lang w:val="uk-UA"/>
        </w:rPr>
        <w:t>Також у проєкті ТК відсутні положення, що регулюють відносини роботодавця із профспілками чи участь працівників в управлінні підприємствами, установами та організаціями, що гарантують статті 243—250 КЗпП. Тому необхідно провести консультації із профспілками.</w:t>
      </w:r>
    </w:p>
    <w:p w14:paraId="0188A487" w14:textId="77777777" w:rsidR="00DE12AE" w:rsidRPr="00DE12AE" w:rsidRDefault="00DE12AE" w:rsidP="00DE12AE">
      <w:pPr>
        <w:rPr>
          <w:lang w:val="uk-UA"/>
        </w:rPr>
      </w:pPr>
    </w:p>
    <w:sectPr w:rsidR="00DE12AE" w:rsidRPr="00DE12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503F2C"/>
    <w:multiLevelType w:val="hybridMultilevel"/>
    <w:tmpl w:val="7FD48C9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200E01C3"/>
    <w:multiLevelType w:val="hybridMultilevel"/>
    <w:tmpl w:val="8CE8114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69BF0000"/>
    <w:multiLevelType w:val="hybridMultilevel"/>
    <w:tmpl w:val="4DEEF0F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777F1BC5"/>
    <w:multiLevelType w:val="hybridMultilevel"/>
    <w:tmpl w:val="2E4ECDC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960261644">
    <w:abstractNumId w:val="2"/>
  </w:num>
  <w:num w:numId="2" w16cid:durableId="87779228">
    <w:abstractNumId w:val="0"/>
  </w:num>
  <w:num w:numId="3" w16cid:durableId="1623730235">
    <w:abstractNumId w:val="1"/>
  </w:num>
  <w:num w:numId="4" w16cid:durableId="6537969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2AE"/>
    <w:rsid w:val="00096B56"/>
    <w:rsid w:val="001401E0"/>
    <w:rsid w:val="00161786"/>
    <w:rsid w:val="00370A89"/>
    <w:rsid w:val="00613252"/>
    <w:rsid w:val="008A1015"/>
    <w:rsid w:val="00A168A5"/>
    <w:rsid w:val="00B636C7"/>
    <w:rsid w:val="00BE7156"/>
    <w:rsid w:val="00C804EB"/>
    <w:rsid w:val="00DE12AE"/>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1D297"/>
  <w15:chartTrackingRefBased/>
  <w15:docId w15:val="{FC5CAAE4-E0E4-4DD8-B8C3-D17FE1937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E12A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DE12A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DE12AE"/>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DE12AE"/>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DE12AE"/>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DE12AE"/>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DE12AE"/>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DE12AE"/>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DE12AE"/>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E12AE"/>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DE12AE"/>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DE12AE"/>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DE12AE"/>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DE12AE"/>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DE12AE"/>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DE12AE"/>
    <w:rPr>
      <w:rFonts w:eastAsiaTheme="majorEastAsia" w:cstheme="majorBidi"/>
      <w:color w:val="595959" w:themeColor="text1" w:themeTint="A6"/>
    </w:rPr>
  </w:style>
  <w:style w:type="character" w:customStyle="1" w:styleId="80">
    <w:name w:val="Заголовок 8 Знак"/>
    <w:basedOn w:val="a0"/>
    <w:link w:val="8"/>
    <w:uiPriority w:val="9"/>
    <w:semiHidden/>
    <w:rsid w:val="00DE12AE"/>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DE12AE"/>
    <w:rPr>
      <w:rFonts w:eastAsiaTheme="majorEastAsia" w:cstheme="majorBidi"/>
      <w:color w:val="272727" w:themeColor="text1" w:themeTint="D8"/>
    </w:rPr>
  </w:style>
  <w:style w:type="paragraph" w:styleId="a3">
    <w:name w:val="Title"/>
    <w:basedOn w:val="a"/>
    <w:next w:val="a"/>
    <w:link w:val="a4"/>
    <w:uiPriority w:val="10"/>
    <w:qFormat/>
    <w:rsid w:val="00DE12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DE12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12AE"/>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DE12AE"/>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DE12AE"/>
    <w:pPr>
      <w:spacing w:before="160"/>
      <w:jc w:val="center"/>
    </w:pPr>
    <w:rPr>
      <w:i/>
      <w:iCs/>
      <w:color w:val="404040" w:themeColor="text1" w:themeTint="BF"/>
    </w:rPr>
  </w:style>
  <w:style w:type="character" w:customStyle="1" w:styleId="22">
    <w:name w:val="Цитата 2 Знак"/>
    <w:basedOn w:val="a0"/>
    <w:link w:val="21"/>
    <w:uiPriority w:val="29"/>
    <w:rsid w:val="00DE12AE"/>
    <w:rPr>
      <w:i/>
      <w:iCs/>
      <w:color w:val="404040" w:themeColor="text1" w:themeTint="BF"/>
    </w:rPr>
  </w:style>
  <w:style w:type="paragraph" w:styleId="a7">
    <w:name w:val="List Paragraph"/>
    <w:basedOn w:val="a"/>
    <w:uiPriority w:val="34"/>
    <w:qFormat/>
    <w:rsid w:val="00DE12AE"/>
    <w:pPr>
      <w:ind w:left="720"/>
      <w:contextualSpacing/>
    </w:pPr>
  </w:style>
  <w:style w:type="character" w:styleId="a8">
    <w:name w:val="Intense Emphasis"/>
    <w:basedOn w:val="a0"/>
    <w:uiPriority w:val="21"/>
    <w:qFormat/>
    <w:rsid w:val="00DE12AE"/>
    <w:rPr>
      <w:i/>
      <w:iCs/>
      <w:color w:val="2F5496" w:themeColor="accent1" w:themeShade="BF"/>
    </w:rPr>
  </w:style>
  <w:style w:type="paragraph" w:styleId="a9">
    <w:name w:val="Intense Quote"/>
    <w:basedOn w:val="a"/>
    <w:next w:val="a"/>
    <w:link w:val="aa"/>
    <w:uiPriority w:val="30"/>
    <w:qFormat/>
    <w:rsid w:val="00DE12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DE12AE"/>
    <w:rPr>
      <w:i/>
      <w:iCs/>
      <w:color w:val="2F5496" w:themeColor="accent1" w:themeShade="BF"/>
    </w:rPr>
  </w:style>
  <w:style w:type="character" w:styleId="ab">
    <w:name w:val="Intense Reference"/>
    <w:basedOn w:val="a0"/>
    <w:uiPriority w:val="32"/>
    <w:qFormat/>
    <w:rsid w:val="00DE12AE"/>
    <w:rPr>
      <w:b/>
      <w:bCs/>
      <w:smallCaps/>
      <w:color w:val="2F5496" w:themeColor="accent1" w:themeShade="BF"/>
      <w:spacing w:val="5"/>
    </w:rPr>
  </w:style>
  <w:style w:type="character" w:styleId="ac">
    <w:name w:val="Hyperlink"/>
    <w:basedOn w:val="a0"/>
    <w:uiPriority w:val="99"/>
    <w:unhideWhenUsed/>
    <w:rsid w:val="00DE12AE"/>
    <w:rPr>
      <w:color w:val="0563C1" w:themeColor="hyperlink"/>
      <w:u w:val="single"/>
    </w:rPr>
  </w:style>
  <w:style w:type="character" w:styleId="ad">
    <w:name w:val="Unresolved Mention"/>
    <w:basedOn w:val="a0"/>
    <w:uiPriority w:val="99"/>
    <w:semiHidden/>
    <w:unhideWhenUsed/>
    <w:rsid w:val="00DE12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1150</Words>
  <Characters>6561</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Інна Кіндрат</dc:creator>
  <cp:keywords/>
  <dc:description/>
  <cp:lastModifiedBy>Інна Кіндрат</cp:lastModifiedBy>
  <cp:revision>2</cp:revision>
  <dcterms:created xsi:type="dcterms:W3CDTF">2025-03-25T07:02:00Z</dcterms:created>
  <dcterms:modified xsi:type="dcterms:W3CDTF">2025-03-25T07:34:00Z</dcterms:modified>
</cp:coreProperties>
</file>