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568A" w14:textId="77777777" w:rsidR="00F407F0" w:rsidRPr="005C0CC4" w:rsidRDefault="00F407F0">
      <w:pPr>
        <w:pBdr>
          <w:top w:val="nil"/>
          <w:left w:val="nil"/>
          <w:bottom w:val="nil"/>
          <w:right w:val="nil"/>
          <w:between w:val="nil"/>
        </w:pBdr>
        <w:ind w:left="1652"/>
        <w:rPr>
          <w:sz w:val="20"/>
          <w:szCs w:val="20"/>
        </w:rPr>
      </w:pPr>
    </w:p>
    <w:p w14:paraId="5FAF1617" w14:textId="77777777" w:rsidR="00D54017" w:rsidRPr="005C0CC4" w:rsidRDefault="00D54017" w:rsidP="00D54017">
      <w:pPr>
        <w:pBdr>
          <w:top w:val="nil"/>
          <w:left w:val="nil"/>
          <w:bottom w:val="nil"/>
          <w:right w:val="nil"/>
          <w:between w:val="nil"/>
        </w:pBdr>
        <w:spacing w:before="76"/>
        <w:ind w:right="151" w:firstLine="851"/>
        <w:jc w:val="right"/>
        <w:rPr>
          <w:sz w:val="28"/>
          <w:szCs w:val="28"/>
        </w:rPr>
      </w:pPr>
      <w:r w:rsidRPr="005C0CC4">
        <w:rPr>
          <w:noProof/>
        </w:rPr>
        <w:drawing>
          <wp:anchor distT="0" distB="0" distL="0" distR="0" simplePos="0" relativeHeight="251658240" behindDoc="0" locked="0" layoutInCell="1" hidden="0" allowOverlap="1" wp14:anchorId="26B67CC0" wp14:editId="05C304AA">
            <wp:simplePos x="0" y="0"/>
            <wp:positionH relativeFrom="page">
              <wp:posOffset>3755843</wp:posOffset>
            </wp:positionH>
            <wp:positionV relativeFrom="paragraph">
              <wp:posOffset>91712</wp:posOffset>
            </wp:positionV>
            <wp:extent cx="694055" cy="92265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0CC4">
        <w:tab/>
      </w:r>
      <w:r w:rsidRPr="005C0CC4">
        <w:tab/>
      </w:r>
      <w:r w:rsidRPr="005C0CC4">
        <w:tab/>
      </w:r>
      <w:r w:rsidRPr="005C0CC4">
        <w:tab/>
      </w:r>
      <w:r w:rsidRPr="005C0CC4">
        <w:tab/>
      </w:r>
      <w:r w:rsidRPr="005C0CC4">
        <w:tab/>
      </w:r>
      <w:r w:rsidRPr="005C0CC4">
        <w:tab/>
      </w:r>
      <w:r w:rsidRPr="005C0CC4">
        <w:tab/>
      </w:r>
      <w:r w:rsidRPr="005C0CC4">
        <w:tab/>
      </w:r>
      <w:r w:rsidRPr="005C0CC4">
        <w:tab/>
      </w:r>
      <w:r w:rsidRPr="005C0CC4">
        <w:rPr>
          <w:sz w:val="28"/>
          <w:szCs w:val="28"/>
        </w:rPr>
        <w:t>ПРОЄКТ</w:t>
      </w:r>
    </w:p>
    <w:p w14:paraId="2205B5A4" w14:textId="5AEF6A30" w:rsidR="00F407F0" w:rsidRPr="005C0CC4" w:rsidRDefault="00F407F0" w:rsidP="00D54017">
      <w:pPr>
        <w:pBdr>
          <w:top w:val="nil"/>
          <w:left w:val="nil"/>
          <w:bottom w:val="nil"/>
          <w:right w:val="nil"/>
          <w:between w:val="nil"/>
        </w:pBdr>
      </w:pPr>
    </w:p>
    <w:p w14:paraId="50160F52" w14:textId="1495EC4C" w:rsidR="00F407F0" w:rsidRPr="005C0CC4" w:rsidRDefault="006F3BC8" w:rsidP="00D5401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5C0CC4">
        <w:tab/>
      </w:r>
      <w:r w:rsidRPr="005C0CC4">
        <w:tab/>
      </w:r>
      <w:r w:rsidRPr="005C0CC4">
        <w:tab/>
      </w:r>
      <w:r w:rsidRPr="005C0CC4">
        <w:tab/>
      </w:r>
      <w:r w:rsidRPr="005C0CC4">
        <w:tab/>
      </w:r>
      <w:r w:rsidRPr="005C0CC4">
        <w:tab/>
      </w:r>
    </w:p>
    <w:p w14:paraId="0C335544" w14:textId="77777777" w:rsidR="00F407F0" w:rsidRPr="005C0CC4" w:rsidRDefault="00F407F0" w:rsidP="00D5401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85AB7B2" w14:textId="77777777" w:rsidR="00F407F0" w:rsidRPr="005C0CC4" w:rsidRDefault="00F407F0" w:rsidP="00D5401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B45DEA9" w14:textId="77777777" w:rsidR="00F407F0" w:rsidRPr="005C0CC4" w:rsidRDefault="00F407F0" w:rsidP="00D54017">
      <w:pPr>
        <w:pBdr>
          <w:top w:val="nil"/>
          <w:left w:val="nil"/>
          <w:bottom w:val="nil"/>
          <w:right w:val="nil"/>
          <w:between w:val="nil"/>
        </w:pBdr>
        <w:spacing w:before="263"/>
        <w:rPr>
          <w:sz w:val="28"/>
          <w:szCs w:val="28"/>
        </w:rPr>
      </w:pPr>
    </w:p>
    <w:p w14:paraId="027BDFAD" w14:textId="77777777" w:rsidR="00F407F0" w:rsidRPr="005C0CC4" w:rsidRDefault="006F3BC8" w:rsidP="00D54017">
      <w:pPr>
        <w:pStyle w:val="1"/>
        <w:ind w:left="0" w:right="3"/>
      </w:pPr>
      <w:r w:rsidRPr="005C0CC4">
        <w:t xml:space="preserve">КАБІНЕТ МІНІСТРІВ УКРАЇНИ </w:t>
      </w:r>
    </w:p>
    <w:p w14:paraId="6540A100" w14:textId="77777777" w:rsidR="00F407F0" w:rsidRPr="005C0CC4" w:rsidRDefault="00F407F0" w:rsidP="00D54017">
      <w:pPr>
        <w:pStyle w:val="1"/>
        <w:ind w:left="0" w:right="3"/>
      </w:pPr>
    </w:p>
    <w:p w14:paraId="7B6D5CD5" w14:textId="77777777" w:rsidR="00F407F0" w:rsidRPr="005C0CC4" w:rsidRDefault="006F3BC8" w:rsidP="00D54017">
      <w:pPr>
        <w:pStyle w:val="1"/>
        <w:ind w:left="0" w:right="3"/>
      </w:pPr>
      <w:r w:rsidRPr="005C0CC4">
        <w:t>РОЗПОРЯДЖЕННЯ</w:t>
      </w:r>
    </w:p>
    <w:p w14:paraId="2D8F5470" w14:textId="513D85CC" w:rsidR="00F407F0" w:rsidRPr="005C0CC4" w:rsidRDefault="006F3BC8" w:rsidP="00D54017">
      <w:pPr>
        <w:pBdr>
          <w:top w:val="nil"/>
          <w:left w:val="nil"/>
          <w:bottom w:val="nil"/>
          <w:right w:val="nil"/>
          <w:between w:val="nil"/>
        </w:pBdr>
        <w:tabs>
          <w:tab w:val="left" w:pos="3673"/>
        </w:tabs>
        <w:spacing w:before="190"/>
        <w:ind w:right="3"/>
        <w:jc w:val="center"/>
        <w:rPr>
          <w:sz w:val="28"/>
          <w:szCs w:val="28"/>
        </w:rPr>
      </w:pPr>
      <w:r w:rsidRPr="005C0CC4">
        <w:rPr>
          <w:sz w:val="28"/>
          <w:szCs w:val="28"/>
        </w:rPr>
        <w:t>від</w:t>
      </w:r>
      <w:r w:rsidRPr="005C0CC4">
        <w:rPr>
          <w:sz w:val="28"/>
          <w:szCs w:val="28"/>
        </w:rPr>
        <w:tab/>
        <w:t>202</w:t>
      </w:r>
      <w:r w:rsidR="00B2558F" w:rsidRPr="005C0CC4">
        <w:rPr>
          <w:sz w:val="28"/>
          <w:szCs w:val="28"/>
        </w:rPr>
        <w:t>5</w:t>
      </w:r>
      <w:r w:rsidRPr="005C0CC4">
        <w:rPr>
          <w:sz w:val="28"/>
          <w:szCs w:val="28"/>
        </w:rPr>
        <w:t xml:space="preserve"> р. №</w:t>
      </w:r>
    </w:p>
    <w:p w14:paraId="6EA7064E" w14:textId="77777777" w:rsidR="00F407F0" w:rsidRPr="005C0CC4" w:rsidRDefault="006F3BC8" w:rsidP="00D54017">
      <w:pPr>
        <w:pBdr>
          <w:top w:val="nil"/>
          <w:left w:val="nil"/>
          <w:bottom w:val="nil"/>
          <w:right w:val="nil"/>
          <w:between w:val="nil"/>
        </w:pBdr>
        <w:spacing w:before="160"/>
        <w:ind w:right="3"/>
        <w:jc w:val="center"/>
        <w:rPr>
          <w:sz w:val="28"/>
          <w:szCs w:val="28"/>
        </w:rPr>
      </w:pPr>
      <w:r w:rsidRPr="005C0CC4">
        <w:rPr>
          <w:sz w:val="28"/>
          <w:szCs w:val="28"/>
        </w:rPr>
        <w:t>Київ</w:t>
      </w:r>
    </w:p>
    <w:p w14:paraId="18A9D254" w14:textId="77777777" w:rsidR="00F407F0" w:rsidRPr="005C0CC4" w:rsidRDefault="00F407F0" w:rsidP="00D54017">
      <w:pPr>
        <w:pBdr>
          <w:top w:val="nil"/>
          <w:left w:val="nil"/>
          <w:bottom w:val="nil"/>
          <w:right w:val="nil"/>
          <w:between w:val="nil"/>
        </w:pBdr>
        <w:spacing w:before="129"/>
        <w:rPr>
          <w:sz w:val="28"/>
          <w:szCs w:val="28"/>
        </w:rPr>
      </w:pPr>
    </w:p>
    <w:p w14:paraId="2458FDDD" w14:textId="77777777" w:rsidR="00D54017" w:rsidRPr="005C0CC4" w:rsidRDefault="006F3BC8" w:rsidP="00D54017">
      <w:pPr>
        <w:spacing w:line="276" w:lineRule="auto"/>
        <w:ind w:right="3" w:hanging="46"/>
        <w:jc w:val="center"/>
        <w:rPr>
          <w:b/>
          <w:sz w:val="28"/>
          <w:szCs w:val="28"/>
        </w:rPr>
      </w:pPr>
      <w:bookmarkStart w:id="0" w:name="_Hlk184810671"/>
      <w:r w:rsidRPr="005C0CC4">
        <w:rPr>
          <w:b/>
          <w:sz w:val="28"/>
          <w:szCs w:val="28"/>
        </w:rPr>
        <w:t xml:space="preserve">Про схвалення Концепції </w:t>
      </w:r>
      <w:r w:rsidR="00E40947" w:rsidRPr="005C0CC4">
        <w:rPr>
          <w:b/>
          <w:sz w:val="28"/>
          <w:szCs w:val="28"/>
        </w:rPr>
        <w:t xml:space="preserve">цифрової гігієни </w:t>
      </w:r>
    </w:p>
    <w:p w14:paraId="45F69AE2" w14:textId="48E56B7A" w:rsidR="00F407F0" w:rsidRPr="005C0CC4" w:rsidRDefault="00E40947" w:rsidP="00D54017">
      <w:pPr>
        <w:spacing w:line="276" w:lineRule="auto"/>
        <w:ind w:right="3" w:hanging="46"/>
        <w:jc w:val="center"/>
        <w:rPr>
          <w:b/>
          <w:sz w:val="28"/>
          <w:szCs w:val="28"/>
        </w:rPr>
      </w:pPr>
      <w:r w:rsidRPr="005C0CC4">
        <w:rPr>
          <w:b/>
          <w:sz w:val="28"/>
          <w:szCs w:val="28"/>
        </w:rPr>
        <w:t>дітей дошкільного віку</w:t>
      </w:r>
    </w:p>
    <w:bookmarkEnd w:id="0"/>
    <w:p w14:paraId="2925BD62" w14:textId="77777777" w:rsidR="008200B8" w:rsidRPr="005C0CC4" w:rsidRDefault="008200B8">
      <w:pPr>
        <w:spacing w:line="276" w:lineRule="auto"/>
        <w:ind w:left="3311" w:right="1902" w:hanging="46"/>
        <w:jc w:val="center"/>
        <w:rPr>
          <w:b/>
          <w:sz w:val="28"/>
          <w:szCs w:val="28"/>
        </w:rPr>
      </w:pPr>
    </w:p>
    <w:p w14:paraId="299ABC92" w14:textId="7376C986" w:rsidR="00D54017" w:rsidRPr="005C0CC4" w:rsidRDefault="00D54017" w:rsidP="00D5401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 w:rsidRPr="005C0CC4">
        <w:rPr>
          <w:sz w:val="28"/>
          <w:szCs w:val="28"/>
        </w:rPr>
        <w:t>1. Схвалити Концепцію цифрової гігієни дітей дошкільного віку (далі - Концепція), що додається.</w:t>
      </w:r>
    </w:p>
    <w:p w14:paraId="3040F0B3" w14:textId="77777777" w:rsidR="00D54017" w:rsidRPr="005C0CC4" w:rsidRDefault="00D54017" w:rsidP="00D5401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65EDDB1" w14:textId="1AAD14DC" w:rsidR="00D54017" w:rsidRPr="005C0CC4" w:rsidRDefault="00D54017" w:rsidP="003F414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2. Міністерствам, іншим центральним органам виконавчої влади, </w:t>
      </w:r>
      <w:r w:rsidR="003F4147" w:rsidRPr="005C0CC4">
        <w:rPr>
          <w:sz w:val="28"/>
          <w:szCs w:val="28"/>
        </w:rPr>
        <w:t xml:space="preserve">за участю інших державних органів, </w:t>
      </w:r>
      <w:r w:rsidRPr="005C0CC4">
        <w:rPr>
          <w:sz w:val="28"/>
          <w:szCs w:val="28"/>
        </w:rPr>
        <w:t>відповідальним за реалізацію Концепції</w:t>
      </w:r>
      <w:r w:rsidR="003F4147" w:rsidRPr="005C0CC4">
        <w:rPr>
          <w:sz w:val="28"/>
          <w:szCs w:val="28"/>
        </w:rPr>
        <w:t>, забезпечити</w:t>
      </w:r>
      <w:r w:rsidRPr="005C0CC4">
        <w:rPr>
          <w:sz w:val="28"/>
          <w:szCs w:val="28"/>
        </w:rPr>
        <w:t>:</w:t>
      </w:r>
    </w:p>
    <w:p w14:paraId="406BA0E6" w14:textId="77777777" w:rsidR="00D54017" w:rsidRPr="005C0CC4" w:rsidRDefault="00D54017" w:rsidP="00D5401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B77D946" w14:textId="77777777" w:rsidR="003F4147" w:rsidRPr="005C0CC4" w:rsidRDefault="00D54017" w:rsidP="003F414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 w:rsidRPr="005C0CC4">
        <w:rPr>
          <w:sz w:val="28"/>
          <w:szCs w:val="28"/>
        </w:rPr>
        <w:t>виконання заходів, передбачених Концепцією;</w:t>
      </w:r>
    </w:p>
    <w:p w14:paraId="58521835" w14:textId="77777777" w:rsidR="003F4147" w:rsidRPr="005C0CC4" w:rsidRDefault="003F4147" w:rsidP="003F414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0"/>
          <w:szCs w:val="20"/>
        </w:rPr>
      </w:pPr>
    </w:p>
    <w:p w14:paraId="7B8FAB07" w14:textId="253081F4" w:rsidR="003F4147" w:rsidRPr="005C0CC4" w:rsidRDefault="003F4147" w:rsidP="003F414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подання щороку, починаючи з 2025 року, до 1 грудня Міністерству освіти і науки інформації про стан виконання завдань та заходів, передбачених Концепцією.</w:t>
      </w:r>
    </w:p>
    <w:p w14:paraId="37888BD1" w14:textId="77777777" w:rsidR="003F4147" w:rsidRPr="005C0CC4" w:rsidRDefault="003F4147" w:rsidP="003F414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0"/>
          <w:szCs w:val="20"/>
        </w:rPr>
      </w:pPr>
    </w:p>
    <w:p w14:paraId="69D66E2A" w14:textId="25FF4FFD" w:rsidR="00D54017" w:rsidRPr="005C0CC4" w:rsidRDefault="003F4147" w:rsidP="006F3B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C0CC4">
        <w:rPr>
          <w:sz w:val="28"/>
          <w:szCs w:val="28"/>
        </w:rPr>
        <w:t>3. Міністерству освіти і науки щороку до 31 грудня подавати Кабінету Міністрів України інформацію про стан виконання завдань та заходів з реалізації Концепції.</w:t>
      </w:r>
    </w:p>
    <w:p w14:paraId="2583C9DF" w14:textId="4C0AF41E" w:rsidR="00F407F0" w:rsidRPr="005C0CC4" w:rsidRDefault="00F407F0">
      <w:pPr>
        <w:pBdr>
          <w:top w:val="nil"/>
          <w:left w:val="nil"/>
          <w:bottom w:val="nil"/>
          <w:right w:val="nil"/>
          <w:between w:val="nil"/>
        </w:pBdr>
        <w:spacing w:before="267"/>
        <w:rPr>
          <w:sz w:val="28"/>
          <w:szCs w:val="28"/>
        </w:rPr>
      </w:pPr>
    </w:p>
    <w:p w14:paraId="4BE42656" w14:textId="5ABF7F14" w:rsidR="00F407F0" w:rsidRPr="005C0CC4" w:rsidRDefault="006F3BC8" w:rsidP="00924C7E">
      <w:pPr>
        <w:pStyle w:val="1"/>
        <w:tabs>
          <w:tab w:val="left" w:pos="8980"/>
        </w:tabs>
        <w:ind w:left="0"/>
        <w:jc w:val="both"/>
      </w:pPr>
      <w:r w:rsidRPr="005C0CC4">
        <w:t>Прем'єр-міністр України</w:t>
      </w:r>
      <w:r w:rsidR="00924C7E" w:rsidRPr="005C0CC4">
        <w:t xml:space="preserve">                                                               </w:t>
      </w:r>
      <w:r w:rsidRPr="005C0CC4">
        <w:t>Д. ШМИГАЛЬ</w:t>
      </w:r>
    </w:p>
    <w:p w14:paraId="0A9F7F2C" w14:textId="77777777" w:rsidR="00F407F0" w:rsidRPr="005C0CC4" w:rsidRDefault="00F407F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3DE6ADE" w14:textId="77777777" w:rsidR="00F407F0" w:rsidRPr="005C0CC4" w:rsidRDefault="00F407F0"/>
    <w:p w14:paraId="6FE62723" w14:textId="77777777" w:rsidR="00924C7E" w:rsidRPr="005C0CC4" w:rsidRDefault="00924C7E"/>
    <w:p w14:paraId="058FAD9B" w14:textId="77777777" w:rsidR="00924C7E" w:rsidRPr="005C0CC4" w:rsidRDefault="00924C7E"/>
    <w:p w14:paraId="4E726FC3" w14:textId="77777777" w:rsidR="00924C7E" w:rsidRPr="005C0CC4" w:rsidRDefault="00924C7E"/>
    <w:p w14:paraId="1DE48A81" w14:textId="77777777" w:rsidR="00924C7E" w:rsidRPr="005C0CC4" w:rsidRDefault="00924C7E"/>
    <w:p w14:paraId="6252B9D7" w14:textId="77777777" w:rsidR="00924C7E" w:rsidRPr="005C0CC4" w:rsidRDefault="00924C7E"/>
    <w:p w14:paraId="7ACEDEDB" w14:textId="77777777" w:rsidR="00924C7E" w:rsidRPr="005C0CC4" w:rsidRDefault="00924C7E"/>
    <w:p w14:paraId="0D2AA7FE" w14:textId="77777777" w:rsidR="00924C7E" w:rsidRPr="005C0CC4" w:rsidRDefault="00924C7E"/>
    <w:p w14:paraId="70DEDE3B" w14:textId="7A9BAB10" w:rsidR="00924C7E" w:rsidRPr="005C0CC4" w:rsidRDefault="00924C7E"/>
    <w:p w14:paraId="7DCEECF4" w14:textId="77777777" w:rsidR="00924C7E" w:rsidRPr="005C0CC4" w:rsidRDefault="00924C7E"/>
    <w:p w14:paraId="78755E73" w14:textId="77777777" w:rsidR="00924C7E" w:rsidRPr="005C0CC4" w:rsidRDefault="00924C7E"/>
    <w:p w14:paraId="327E1861" w14:textId="77777777" w:rsidR="00924C7E" w:rsidRPr="005C0CC4" w:rsidRDefault="00924C7E"/>
    <w:p w14:paraId="69F1B11F" w14:textId="77777777" w:rsidR="00924C7E" w:rsidRPr="005C0CC4" w:rsidRDefault="00924C7E"/>
    <w:p w14:paraId="10F0DFCE" w14:textId="77777777" w:rsidR="00924C7E" w:rsidRPr="005C0CC4" w:rsidRDefault="00924C7E" w:rsidP="00E70E51">
      <w:pPr>
        <w:ind w:left="4111"/>
        <w:contextualSpacing/>
        <w:jc w:val="center"/>
        <w:rPr>
          <w:sz w:val="28"/>
          <w:szCs w:val="28"/>
        </w:rPr>
      </w:pPr>
      <w:r w:rsidRPr="005C0CC4">
        <w:rPr>
          <w:sz w:val="28"/>
          <w:szCs w:val="28"/>
        </w:rPr>
        <w:t>СХВАЛЕНО</w:t>
      </w:r>
    </w:p>
    <w:p w14:paraId="40DAA979" w14:textId="77777777" w:rsidR="00924C7E" w:rsidRPr="005C0CC4" w:rsidRDefault="00924C7E" w:rsidP="00E70E51">
      <w:pPr>
        <w:ind w:left="4111"/>
        <w:contextualSpacing/>
        <w:jc w:val="center"/>
        <w:rPr>
          <w:sz w:val="28"/>
          <w:szCs w:val="28"/>
        </w:rPr>
      </w:pPr>
    </w:p>
    <w:p w14:paraId="03C6A773" w14:textId="77777777" w:rsidR="00924C7E" w:rsidRPr="005C0CC4" w:rsidRDefault="00924C7E" w:rsidP="00E70E51">
      <w:pPr>
        <w:ind w:left="4111"/>
        <w:contextualSpacing/>
        <w:jc w:val="center"/>
        <w:rPr>
          <w:sz w:val="28"/>
          <w:szCs w:val="28"/>
        </w:rPr>
      </w:pPr>
      <w:r w:rsidRPr="005C0CC4">
        <w:rPr>
          <w:sz w:val="28"/>
          <w:szCs w:val="28"/>
        </w:rPr>
        <w:t>розпорядженням Кабінету Міністрів України</w:t>
      </w:r>
    </w:p>
    <w:p w14:paraId="7712906F" w14:textId="77777777" w:rsidR="00924C7E" w:rsidRPr="005C0CC4" w:rsidRDefault="00924C7E" w:rsidP="00E70E51">
      <w:pPr>
        <w:ind w:left="4111"/>
        <w:contextualSpacing/>
        <w:jc w:val="center"/>
        <w:rPr>
          <w:sz w:val="28"/>
          <w:szCs w:val="28"/>
        </w:rPr>
      </w:pPr>
      <w:r w:rsidRPr="005C0CC4">
        <w:rPr>
          <w:sz w:val="28"/>
          <w:szCs w:val="28"/>
        </w:rPr>
        <w:t>від ___________ р. № _________</w:t>
      </w:r>
    </w:p>
    <w:p w14:paraId="1E3BF23B" w14:textId="77777777" w:rsidR="00924C7E" w:rsidRPr="005C0CC4" w:rsidRDefault="00924C7E" w:rsidP="00924C7E">
      <w:pPr>
        <w:contextualSpacing/>
        <w:jc w:val="center"/>
        <w:rPr>
          <w:b/>
          <w:sz w:val="28"/>
          <w:szCs w:val="28"/>
        </w:rPr>
      </w:pPr>
      <w:r w:rsidRPr="005C0CC4">
        <w:rPr>
          <w:b/>
          <w:sz w:val="28"/>
          <w:szCs w:val="28"/>
        </w:rPr>
        <w:t xml:space="preserve"> </w:t>
      </w:r>
    </w:p>
    <w:p w14:paraId="77286113" w14:textId="77777777" w:rsidR="00CC29E3" w:rsidRPr="005C0CC4" w:rsidRDefault="00CC29E3" w:rsidP="00924C7E">
      <w:pPr>
        <w:contextualSpacing/>
        <w:jc w:val="center"/>
        <w:rPr>
          <w:b/>
          <w:sz w:val="28"/>
          <w:szCs w:val="28"/>
        </w:rPr>
      </w:pPr>
    </w:p>
    <w:p w14:paraId="7CC8774E" w14:textId="77777777" w:rsidR="00924C7E" w:rsidRPr="005C0CC4" w:rsidRDefault="00924C7E" w:rsidP="00924C7E">
      <w:pPr>
        <w:contextualSpacing/>
        <w:jc w:val="center"/>
        <w:rPr>
          <w:b/>
          <w:sz w:val="28"/>
          <w:szCs w:val="28"/>
        </w:rPr>
      </w:pPr>
      <w:bookmarkStart w:id="1" w:name="_Hlk184901393"/>
      <w:r w:rsidRPr="005C0CC4">
        <w:rPr>
          <w:b/>
          <w:sz w:val="28"/>
          <w:szCs w:val="28"/>
        </w:rPr>
        <w:t>КОНЦЕПЦІЯ</w:t>
      </w:r>
    </w:p>
    <w:p w14:paraId="3195DC2E" w14:textId="77777777" w:rsidR="00924C7E" w:rsidRPr="005C0CC4" w:rsidRDefault="00924C7E" w:rsidP="00CC29E3">
      <w:pPr>
        <w:spacing w:after="240"/>
        <w:contextualSpacing/>
        <w:jc w:val="center"/>
        <w:rPr>
          <w:b/>
          <w:sz w:val="28"/>
          <w:szCs w:val="28"/>
        </w:rPr>
      </w:pPr>
      <w:r w:rsidRPr="005C0CC4">
        <w:rPr>
          <w:b/>
          <w:sz w:val="28"/>
          <w:szCs w:val="28"/>
        </w:rPr>
        <w:t>цифрової гігієни дітей дошкільного віку</w:t>
      </w:r>
      <w:bookmarkEnd w:id="1"/>
    </w:p>
    <w:p w14:paraId="5D2C9977" w14:textId="77777777" w:rsidR="00924C7E" w:rsidRPr="005C0CC4" w:rsidRDefault="00924C7E" w:rsidP="00CC29E3">
      <w:pPr>
        <w:spacing w:after="240"/>
        <w:contextualSpacing/>
        <w:jc w:val="center"/>
        <w:rPr>
          <w:b/>
          <w:sz w:val="28"/>
          <w:szCs w:val="28"/>
        </w:rPr>
      </w:pPr>
    </w:p>
    <w:p w14:paraId="337E16C9" w14:textId="77777777" w:rsidR="00CC29E3" w:rsidRPr="005C0CC4" w:rsidRDefault="00924C7E" w:rsidP="00CC29E3">
      <w:pPr>
        <w:spacing w:before="240" w:after="240"/>
        <w:contextualSpacing/>
        <w:jc w:val="center"/>
        <w:rPr>
          <w:b/>
          <w:sz w:val="28"/>
          <w:szCs w:val="28"/>
        </w:rPr>
      </w:pPr>
      <w:r w:rsidRPr="005C0CC4">
        <w:rPr>
          <w:b/>
          <w:sz w:val="28"/>
          <w:szCs w:val="28"/>
        </w:rPr>
        <w:t>Опис проблеми, яка потребує розв`язання</w:t>
      </w:r>
    </w:p>
    <w:p w14:paraId="174B3FF0" w14:textId="77777777" w:rsidR="00CC29E3" w:rsidRPr="005C0CC4" w:rsidRDefault="00CC29E3" w:rsidP="00CC29E3">
      <w:pPr>
        <w:spacing w:before="240" w:after="240"/>
        <w:contextualSpacing/>
        <w:jc w:val="center"/>
        <w:rPr>
          <w:b/>
          <w:sz w:val="20"/>
          <w:szCs w:val="20"/>
        </w:rPr>
      </w:pPr>
    </w:p>
    <w:p w14:paraId="414D3F83" w14:textId="0FC8FBDE" w:rsidR="00924C7E" w:rsidRPr="005C0CC4" w:rsidRDefault="00924C7E" w:rsidP="00CC29E3">
      <w:pPr>
        <w:spacing w:before="240" w:after="240"/>
        <w:ind w:firstLine="709"/>
        <w:contextualSpacing/>
        <w:jc w:val="both"/>
        <w:rPr>
          <w:b/>
          <w:sz w:val="28"/>
          <w:szCs w:val="28"/>
        </w:rPr>
      </w:pPr>
      <w:r w:rsidRPr="005C0CC4">
        <w:rPr>
          <w:sz w:val="28"/>
          <w:szCs w:val="28"/>
        </w:rPr>
        <w:t xml:space="preserve">Сучасний світ активно використовує цифрові технології, що формує нове середовище для </w:t>
      </w:r>
      <w:r w:rsidR="0072640D" w:rsidRPr="0072640D">
        <w:rPr>
          <w:sz w:val="28"/>
          <w:szCs w:val="28"/>
        </w:rPr>
        <w:t xml:space="preserve">розвитку, виховання та навчання </w:t>
      </w:r>
      <w:r w:rsidRPr="005C0CC4">
        <w:rPr>
          <w:sz w:val="28"/>
          <w:szCs w:val="28"/>
        </w:rPr>
        <w:t xml:space="preserve">дітей. Водночас зростає ризик негативного впливу цифрових пристроїв на фізичний, психічний та соціальний розвиток дітей, особливо дошкільного віку. </w:t>
      </w:r>
    </w:p>
    <w:p w14:paraId="4B8A4A1F" w14:textId="034B76C4" w:rsidR="00924C7E" w:rsidRPr="005C0CC4" w:rsidRDefault="00924C7E" w:rsidP="00924C7E">
      <w:pPr>
        <w:ind w:firstLine="709"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Державна політика України у сфері освіти та охорони здоров’я акцентує на забезпеченні </w:t>
      </w:r>
      <w:r w:rsidR="0072640D" w:rsidRPr="0072640D">
        <w:rPr>
          <w:sz w:val="28"/>
          <w:szCs w:val="28"/>
        </w:rPr>
        <w:t>цілісного та всебічного</w:t>
      </w:r>
      <w:r w:rsidRPr="005C0CC4">
        <w:rPr>
          <w:sz w:val="28"/>
          <w:szCs w:val="28"/>
        </w:rPr>
        <w:t xml:space="preserve"> розвитку дитини, зокрема через формування компетентностей, які стосуються безпечного та здоров’язбережувального використання цифрових технологій.</w:t>
      </w:r>
    </w:p>
    <w:p w14:paraId="134A76AF" w14:textId="7F282184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  <w:shd w:val="clear" w:color="auto" w:fill="EA9999"/>
        </w:rPr>
      </w:pPr>
      <w:r w:rsidRPr="005C0CC4">
        <w:rPr>
          <w:sz w:val="28"/>
          <w:szCs w:val="28"/>
        </w:rPr>
        <w:t xml:space="preserve">Проблемою, яка потребує розв’язання, є низький рівень цифрової гігієни. Цифрова гігієна (в цьому документі) </w:t>
      </w:r>
      <w:r w:rsidR="00CC29E3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це сукупність правил, практик та навичок, спрямованих на безпечне, раціональне та відповідальне використання цифрових технологій і ресурсів. Вона охоплює дії, які допомагають захистити фізичне, психологічне та інформаційне благополуччя дитини у цифровому середовищі.</w:t>
      </w:r>
    </w:p>
    <w:p w14:paraId="2AB7CEDF" w14:textId="23E09494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Концепція цифрової гігієни дітей дошкільного віку (далі </w:t>
      </w:r>
      <w:r w:rsidR="00CC29E3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діти)</w:t>
      </w:r>
      <w:r w:rsidRPr="005C0CC4">
        <w:rPr>
          <w:b/>
          <w:sz w:val="28"/>
          <w:szCs w:val="28"/>
        </w:rPr>
        <w:t xml:space="preserve"> </w:t>
      </w:r>
      <w:r w:rsidR="00C57759" w:rsidRPr="005C0CC4">
        <w:rPr>
          <w:sz w:val="28"/>
          <w:szCs w:val="28"/>
        </w:rPr>
        <w:t>спрямована на вдосконалення освітнього процесу в закладах дошкільної освіти</w:t>
      </w:r>
      <w:r w:rsidR="00077BCD" w:rsidRPr="00077BCD">
        <w:rPr>
          <w:sz w:val="28"/>
          <w:szCs w:val="28"/>
        </w:rPr>
        <w:t xml:space="preserve">, </w:t>
      </w:r>
      <w:r w:rsidR="0072640D">
        <w:rPr>
          <w:sz w:val="28"/>
          <w:szCs w:val="28"/>
        </w:rPr>
        <w:t xml:space="preserve">в </w:t>
      </w:r>
      <w:r w:rsidR="00077BCD" w:rsidRPr="00077BCD">
        <w:rPr>
          <w:sz w:val="28"/>
          <w:szCs w:val="28"/>
        </w:rPr>
        <w:t>інших юридичних осіб публічного чи приватного права</w:t>
      </w:r>
      <w:r w:rsidR="00077BCD">
        <w:rPr>
          <w:sz w:val="28"/>
          <w:szCs w:val="28"/>
        </w:rPr>
        <w:t xml:space="preserve"> </w:t>
      </w:r>
      <w:r w:rsidR="00077BCD" w:rsidRPr="00077BCD">
        <w:rPr>
          <w:sz w:val="28"/>
          <w:szCs w:val="28"/>
        </w:rPr>
        <w:t>та фізичних осіб-підприємців, які пров</w:t>
      </w:r>
      <w:r w:rsidR="0072640D">
        <w:rPr>
          <w:sz w:val="28"/>
          <w:szCs w:val="28"/>
        </w:rPr>
        <w:t>а</w:t>
      </w:r>
      <w:r w:rsidR="00077BCD" w:rsidRPr="00077BCD">
        <w:rPr>
          <w:sz w:val="28"/>
          <w:szCs w:val="28"/>
        </w:rPr>
        <w:t xml:space="preserve">дять освітню діяльність у сфері дошкільної </w:t>
      </w:r>
      <w:r w:rsidR="00872B20">
        <w:rPr>
          <w:sz w:val="28"/>
          <w:szCs w:val="28"/>
        </w:rPr>
        <w:t>та/або позашкільної</w:t>
      </w:r>
      <w:r w:rsidR="00077BCD" w:rsidRPr="00077BCD">
        <w:rPr>
          <w:sz w:val="28"/>
          <w:szCs w:val="28"/>
        </w:rPr>
        <w:t xml:space="preserve"> </w:t>
      </w:r>
      <w:r w:rsidR="00872B20" w:rsidRPr="00077BCD">
        <w:rPr>
          <w:sz w:val="28"/>
          <w:szCs w:val="28"/>
        </w:rPr>
        <w:t xml:space="preserve">освіти </w:t>
      </w:r>
      <w:r w:rsidR="00F907BD" w:rsidRPr="00077BCD">
        <w:rPr>
          <w:sz w:val="28"/>
          <w:szCs w:val="28"/>
        </w:rPr>
        <w:t xml:space="preserve">(далі разом </w:t>
      </w:r>
      <w:r w:rsidR="00F907BD" w:rsidRPr="00077BCD">
        <w:rPr>
          <w:sz w:val="28"/>
          <w:szCs w:val="28"/>
        </w:rPr>
        <w:sym w:font="Symbol" w:char="F02D"/>
      </w:r>
      <w:r w:rsidR="00F907BD">
        <w:rPr>
          <w:sz w:val="28"/>
          <w:szCs w:val="28"/>
        </w:rPr>
        <w:t xml:space="preserve"> </w:t>
      </w:r>
      <w:r w:rsidR="00F907BD" w:rsidRPr="00077BCD">
        <w:rPr>
          <w:sz w:val="28"/>
          <w:szCs w:val="28"/>
        </w:rPr>
        <w:t>суб’єкти освітньої діяльності)</w:t>
      </w:r>
      <w:r w:rsidR="00077BCD">
        <w:rPr>
          <w:sz w:val="28"/>
          <w:szCs w:val="28"/>
        </w:rPr>
        <w:t>,</w:t>
      </w:r>
      <w:r w:rsidR="00C57759" w:rsidRPr="005C0CC4">
        <w:rPr>
          <w:sz w:val="28"/>
          <w:szCs w:val="28"/>
        </w:rPr>
        <w:t xml:space="preserve"> та надання орієнтирів батькам </w:t>
      </w:r>
      <w:r w:rsidR="00F907BD" w:rsidRPr="00F907BD">
        <w:rPr>
          <w:sz w:val="28"/>
          <w:szCs w:val="28"/>
        </w:rPr>
        <w:t xml:space="preserve">та іншим законним представникам дитини </w:t>
      </w:r>
      <w:r w:rsidR="00F907BD" w:rsidRPr="00230EB9">
        <w:rPr>
          <w:sz w:val="28"/>
          <w:szCs w:val="28"/>
        </w:rPr>
        <w:t xml:space="preserve">(далі – батьки), </w:t>
      </w:r>
      <w:r w:rsidR="00C57759" w:rsidRPr="005C0CC4">
        <w:rPr>
          <w:sz w:val="28"/>
          <w:szCs w:val="28"/>
        </w:rPr>
        <w:t xml:space="preserve">щодо </w:t>
      </w:r>
      <w:r w:rsidR="00F907BD" w:rsidRPr="00F907BD">
        <w:rPr>
          <w:sz w:val="28"/>
          <w:szCs w:val="28"/>
        </w:rPr>
        <w:t>розвитку, виховання та навчання</w:t>
      </w:r>
      <w:r w:rsidR="00C57759" w:rsidRPr="005C0CC4">
        <w:rPr>
          <w:sz w:val="28"/>
          <w:szCs w:val="28"/>
        </w:rPr>
        <w:t xml:space="preserve"> дитини в умовах цифровізації. </w:t>
      </w:r>
    </w:p>
    <w:p w14:paraId="68881CCC" w14:textId="036BD95B" w:rsidR="00924C7E" w:rsidRPr="005C0CC4" w:rsidRDefault="00924C7E" w:rsidP="00924C7E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Використання </w:t>
      </w:r>
      <w:r w:rsidR="0072640D">
        <w:rPr>
          <w:sz w:val="28"/>
          <w:szCs w:val="28"/>
        </w:rPr>
        <w:t xml:space="preserve">цифрових </w:t>
      </w:r>
      <w:r w:rsidR="0072640D" w:rsidRPr="0072640D">
        <w:rPr>
          <w:sz w:val="28"/>
          <w:szCs w:val="28"/>
        </w:rPr>
        <w:t>пристроїв, технологій, інших цифрових ресурсів</w:t>
      </w:r>
      <w:r w:rsidR="00615F6A">
        <w:rPr>
          <w:sz w:val="28"/>
          <w:szCs w:val="28"/>
        </w:rPr>
        <w:t xml:space="preserve"> (далі </w:t>
      </w:r>
      <w:r w:rsidR="00615F6A" w:rsidRPr="00615F6A">
        <w:rPr>
          <w:sz w:val="28"/>
          <w:szCs w:val="28"/>
        </w:rPr>
        <w:sym w:font="Symbol" w:char="F02D"/>
      </w:r>
      <w:r w:rsidR="00615F6A">
        <w:rPr>
          <w:sz w:val="28"/>
          <w:szCs w:val="28"/>
        </w:rPr>
        <w:t xml:space="preserve"> цифрові технології)</w:t>
      </w:r>
      <w:r w:rsidR="0072640D" w:rsidRPr="0072640D">
        <w:rPr>
          <w:sz w:val="28"/>
          <w:szCs w:val="28"/>
        </w:rPr>
        <w:t xml:space="preserve"> </w:t>
      </w:r>
      <w:r w:rsidRPr="005C0CC4">
        <w:rPr>
          <w:sz w:val="28"/>
          <w:szCs w:val="28"/>
        </w:rPr>
        <w:t xml:space="preserve">серед дітей породжує як нові можливості для </w:t>
      </w:r>
      <w:r w:rsidR="0072640D" w:rsidRPr="0072640D">
        <w:rPr>
          <w:sz w:val="28"/>
          <w:szCs w:val="28"/>
        </w:rPr>
        <w:t>розвитку, виховання та навчання</w:t>
      </w:r>
      <w:r w:rsidRPr="005C0CC4">
        <w:rPr>
          <w:sz w:val="28"/>
          <w:szCs w:val="28"/>
        </w:rPr>
        <w:t xml:space="preserve">, так і значні ризики для їхнього фізичного, психічного здоров’я та соціального </w:t>
      </w:r>
      <w:r w:rsidR="0072640D" w:rsidRPr="0072640D">
        <w:rPr>
          <w:sz w:val="28"/>
          <w:szCs w:val="28"/>
        </w:rPr>
        <w:t>благополуччя</w:t>
      </w:r>
      <w:r w:rsidRPr="005C0CC4">
        <w:rPr>
          <w:sz w:val="28"/>
          <w:szCs w:val="28"/>
        </w:rPr>
        <w:t xml:space="preserve">. </w:t>
      </w:r>
    </w:p>
    <w:p w14:paraId="48C5AB81" w14:textId="69E26A36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Основними ризиками для дітей дошкільного віку під час користування цифровими </w:t>
      </w:r>
      <w:r w:rsidR="00F907BD" w:rsidRPr="00F907BD">
        <w:rPr>
          <w:sz w:val="28"/>
          <w:szCs w:val="28"/>
        </w:rPr>
        <w:t>технологіями</w:t>
      </w:r>
      <w:r w:rsidR="00615F6A">
        <w:rPr>
          <w:sz w:val="28"/>
          <w:szCs w:val="28"/>
        </w:rPr>
        <w:t xml:space="preserve"> </w:t>
      </w:r>
      <w:r w:rsidRPr="005C0CC4">
        <w:rPr>
          <w:sz w:val="28"/>
          <w:szCs w:val="28"/>
        </w:rPr>
        <w:t xml:space="preserve">є: </w:t>
      </w:r>
    </w:p>
    <w:p w14:paraId="62515532" w14:textId="77777777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негативний вплив на фізичне здоров’я (зниження фізичної активності, напруження очей, порушення зору, постави тощо);</w:t>
      </w:r>
    </w:p>
    <w:p w14:paraId="653E3721" w14:textId="229FA5CF" w:rsidR="00E70E51" w:rsidRDefault="00F907BD" w:rsidP="00924C7E">
      <w:pPr>
        <w:ind w:firstLine="709"/>
        <w:contextualSpacing/>
        <w:jc w:val="both"/>
        <w:rPr>
          <w:sz w:val="28"/>
          <w:szCs w:val="28"/>
        </w:rPr>
      </w:pPr>
      <w:r w:rsidRPr="00F907BD">
        <w:rPr>
          <w:sz w:val="28"/>
          <w:szCs w:val="28"/>
        </w:rPr>
        <w:t xml:space="preserve">негативний вплив на психічне здоров’я та психологічний стан </w:t>
      </w:r>
      <w:r w:rsidR="00ED36CD" w:rsidRPr="005C0CC4">
        <w:rPr>
          <w:sz w:val="28"/>
          <w:szCs w:val="28"/>
        </w:rPr>
        <w:t>(зниження концентрації уваги,</w:t>
      </w:r>
      <w:r w:rsidR="00924C7E" w:rsidRPr="005C0CC4">
        <w:rPr>
          <w:sz w:val="28"/>
          <w:szCs w:val="28"/>
        </w:rPr>
        <w:t xml:space="preserve"> гальмування розвитку уяви, ризик емоційного перевантаження, втрата інтересу до інших видів діяльності тощо);</w:t>
      </w:r>
    </w:p>
    <w:p w14:paraId="61A8CD44" w14:textId="77777777" w:rsidR="00E70E51" w:rsidRDefault="00E70E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560F8F" w14:textId="1253B68A" w:rsidR="00924C7E" w:rsidRPr="00973B10" w:rsidRDefault="00973B10" w:rsidP="00973B10">
      <w:pPr>
        <w:contextualSpacing/>
        <w:jc w:val="center"/>
        <w:rPr>
          <w:color w:val="7F7F7F" w:themeColor="text1" w:themeTint="80"/>
          <w:sz w:val="28"/>
          <w:szCs w:val="28"/>
        </w:rPr>
      </w:pPr>
      <w:r w:rsidRPr="00973B10">
        <w:rPr>
          <w:color w:val="7F7F7F" w:themeColor="text1" w:themeTint="80"/>
          <w:sz w:val="28"/>
          <w:szCs w:val="28"/>
        </w:rPr>
        <w:lastRenderedPageBreak/>
        <w:t>2</w:t>
      </w:r>
    </w:p>
    <w:p w14:paraId="6723E56F" w14:textId="77777777" w:rsidR="00973B10" w:rsidRPr="005C0CC4" w:rsidRDefault="00973B10" w:rsidP="00973B10">
      <w:pPr>
        <w:ind w:firstLine="709"/>
        <w:contextualSpacing/>
        <w:jc w:val="center"/>
        <w:rPr>
          <w:sz w:val="28"/>
          <w:szCs w:val="28"/>
        </w:rPr>
      </w:pPr>
    </w:p>
    <w:p w14:paraId="1ED5D045" w14:textId="787C4231" w:rsidR="00924C7E" w:rsidRPr="005C0CC4" w:rsidRDefault="00F907BD" w:rsidP="00924C7E">
      <w:pPr>
        <w:ind w:firstLine="720"/>
        <w:contextualSpacing/>
        <w:jc w:val="both"/>
        <w:rPr>
          <w:sz w:val="28"/>
          <w:szCs w:val="28"/>
        </w:rPr>
      </w:pPr>
      <w:r w:rsidRPr="00F907BD">
        <w:rPr>
          <w:sz w:val="28"/>
          <w:szCs w:val="28"/>
        </w:rPr>
        <w:t>негативний</w:t>
      </w:r>
      <w:r w:rsidRPr="005C0CC4">
        <w:rPr>
          <w:sz w:val="28"/>
          <w:szCs w:val="28"/>
        </w:rPr>
        <w:t xml:space="preserve"> </w:t>
      </w:r>
      <w:r w:rsidR="00924C7E" w:rsidRPr="005C0CC4">
        <w:rPr>
          <w:sz w:val="28"/>
          <w:szCs w:val="28"/>
        </w:rPr>
        <w:t>вплив на когнітивний розвиток (гальмування розвитку критичного мислення, творчості, мовлення тощо);</w:t>
      </w:r>
    </w:p>
    <w:p w14:paraId="0BA3B465" w14:textId="6D08C7C6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соціальні ризики (зменшення часу на </w:t>
      </w:r>
      <w:r w:rsidR="00F907BD">
        <w:rPr>
          <w:sz w:val="28"/>
          <w:szCs w:val="28"/>
        </w:rPr>
        <w:t>«</w:t>
      </w:r>
      <w:r w:rsidRPr="005C0CC4">
        <w:rPr>
          <w:sz w:val="28"/>
          <w:szCs w:val="28"/>
        </w:rPr>
        <w:t>живе</w:t>
      </w:r>
      <w:r w:rsidR="00F907BD">
        <w:rPr>
          <w:sz w:val="28"/>
          <w:szCs w:val="28"/>
        </w:rPr>
        <w:t>»</w:t>
      </w:r>
      <w:r w:rsidRPr="005C0CC4">
        <w:rPr>
          <w:sz w:val="28"/>
          <w:szCs w:val="28"/>
        </w:rPr>
        <w:t xml:space="preserve"> спілкування з однолітками та дорослими, відсутність </w:t>
      </w:r>
      <w:r w:rsidR="00F907BD" w:rsidRPr="00F907BD">
        <w:rPr>
          <w:sz w:val="28"/>
          <w:szCs w:val="28"/>
        </w:rPr>
        <w:t xml:space="preserve">навичок спільної </w:t>
      </w:r>
      <w:r w:rsidRPr="005C0CC4">
        <w:rPr>
          <w:sz w:val="28"/>
          <w:szCs w:val="28"/>
        </w:rPr>
        <w:t xml:space="preserve">взаємодії </w:t>
      </w:r>
      <w:r w:rsidR="00F907BD">
        <w:rPr>
          <w:sz w:val="28"/>
          <w:szCs w:val="28"/>
        </w:rPr>
        <w:t>під час «живо</w:t>
      </w:r>
      <w:r w:rsidR="000F0AD5">
        <w:rPr>
          <w:sz w:val="28"/>
          <w:szCs w:val="28"/>
        </w:rPr>
        <w:t>го спілкування</w:t>
      </w:r>
      <w:r w:rsidR="00F907BD">
        <w:rPr>
          <w:sz w:val="28"/>
          <w:szCs w:val="28"/>
        </w:rPr>
        <w:t xml:space="preserve">» </w:t>
      </w:r>
      <w:r w:rsidRPr="005C0CC4">
        <w:rPr>
          <w:sz w:val="28"/>
          <w:szCs w:val="28"/>
        </w:rPr>
        <w:t>тощо);</w:t>
      </w:r>
    </w:p>
    <w:p w14:paraId="224C4B8D" w14:textId="77777777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небезпека онлайн-контенту (ризики небажаного контенту, що містить насильство, агресію, рекламу тощо);</w:t>
      </w:r>
    </w:p>
    <w:p w14:paraId="330A8B80" w14:textId="3D433B8B" w:rsidR="003F4147" w:rsidRPr="005C0CC4" w:rsidRDefault="00924C7E" w:rsidP="00ED36CD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порушення безпе</w:t>
      </w:r>
      <w:r w:rsidR="00565134">
        <w:rPr>
          <w:sz w:val="28"/>
          <w:szCs w:val="28"/>
        </w:rPr>
        <w:t xml:space="preserve">ки даних (діти можуть </w:t>
      </w:r>
      <w:r w:rsidRPr="005C0CC4">
        <w:rPr>
          <w:sz w:val="28"/>
          <w:szCs w:val="28"/>
        </w:rPr>
        <w:t>ділитися особистою інформацією).</w:t>
      </w:r>
    </w:p>
    <w:p w14:paraId="3784EE45" w14:textId="30EC10FD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Основними проблемами у сфері цифрової гігієни дітей є:</w:t>
      </w:r>
    </w:p>
    <w:p w14:paraId="309A4669" w14:textId="77777777" w:rsidR="00924C7E" w:rsidRPr="005C0CC4" w:rsidRDefault="00924C7E" w:rsidP="00924C7E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відсутність регулярного оновлення стандартів, норм та правил щодо тривалості та змісту використання цифрових пристроїв дітьми у зв’язку із розвитком цифрових технологій;</w:t>
      </w:r>
    </w:p>
    <w:p w14:paraId="298C051D" w14:textId="77777777" w:rsidR="00924C7E" w:rsidRPr="005C0CC4" w:rsidRDefault="00924C7E" w:rsidP="00924C7E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відсутність спеціально розроблених україномовних програм для розвитку цифрової грамотності дітей, зокрема дітей з особливими освітніми потребами у безпечний спосіб;</w:t>
      </w:r>
    </w:p>
    <w:p w14:paraId="7BACE147" w14:textId="77777777" w:rsidR="00924C7E" w:rsidRPr="005C0CC4" w:rsidRDefault="00924C7E" w:rsidP="00924C7E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низький рівень знань у батьків про оптимальний безпечний час використання цифрових пристроїв для дітей;</w:t>
      </w:r>
    </w:p>
    <w:p w14:paraId="324B6664" w14:textId="4A821CCC" w:rsidR="00924C7E" w:rsidRPr="005C0CC4" w:rsidRDefault="00924C7E" w:rsidP="00924C7E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недостатня поінформованість педагогічних працівників </w:t>
      </w:r>
      <w:bookmarkStart w:id="2" w:name="_Hlk191970294"/>
      <w:r w:rsidR="00077BCD" w:rsidRPr="00077BCD">
        <w:rPr>
          <w:sz w:val="28"/>
          <w:szCs w:val="28"/>
        </w:rPr>
        <w:t>суб’єкт</w:t>
      </w:r>
      <w:r w:rsidR="00077BCD">
        <w:rPr>
          <w:sz w:val="28"/>
          <w:szCs w:val="28"/>
        </w:rPr>
        <w:t>ів</w:t>
      </w:r>
      <w:r w:rsidR="00077BCD" w:rsidRPr="00077BCD">
        <w:rPr>
          <w:sz w:val="28"/>
          <w:szCs w:val="28"/>
        </w:rPr>
        <w:t xml:space="preserve"> освітньої діяльності</w:t>
      </w:r>
      <w:r w:rsidR="00077BCD">
        <w:rPr>
          <w:sz w:val="28"/>
          <w:szCs w:val="28"/>
        </w:rPr>
        <w:t xml:space="preserve"> </w:t>
      </w:r>
      <w:bookmarkEnd w:id="2"/>
      <w:r w:rsidRPr="005C0CC4">
        <w:rPr>
          <w:sz w:val="28"/>
          <w:szCs w:val="28"/>
        </w:rPr>
        <w:t xml:space="preserve">щодо ризиків, пов’язаних із використанням </w:t>
      </w:r>
      <w:r w:rsidR="00F907BD" w:rsidRPr="00F907BD">
        <w:rPr>
          <w:sz w:val="28"/>
          <w:szCs w:val="28"/>
        </w:rPr>
        <w:t>цифрових технологій</w:t>
      </w:r>
      <w:r w:rsidRPr="005C0CC4">
        <w:rPr>
          <w:sz w:val="28"/>
          <w:szCs w:val="28"/>
        </w:rPr>
        <w:t>;</w:t>
      </w:r>
    </w:p>
    <w:p w14:paraId="11A3DF13" w14:textId="77777777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небезпека доступу до контенту, що не відповідає віку дитини;</w:t>
      </w:r>
    </w:p>
    <w:p w14:paraId="56B1A016" w14:textId="7C979B3E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потреба у підвищенні цифрової компетентності педагогічних працівників і батьків;</w:t>
      </w:r>
    </w:p>
    <w:p w14:paraId="77575111" w14:textId="56799896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відсутність методичних рекомендацій щодо інтеграції цифрових </w:t>
      </w:r>
      <w:r w:rsidR="00F907BD" w:rsidRPr="00F907BD">
        <w:rPr>
          <w:sz w:val="28"/>
          <w:szCs w:val="28"/>
        </w:rPr>
        <w:t>технологій</w:t>
      </w:r>
      <w:r w:rsidR="00615F6A">
        <w:rPr>
          <w:sz w:val="28"/>
          <w:szCs w:val="28"/>
        </w:rPr>
        <w:t xml:space="preserve"> </w:t>
      </w:r>
      <w:r w:rsidRPr="005C0CC4">
        <w:rPr>
          <w:sz w:val="28"/>
          <w:szCs w:val="28"/>
        </w:rPr>
        <w:t xml:space="preserve">в освітній процес </w:t>
      </w:r>
      <w:r w:rsidR="00E70E51" w:rsidRPr="00E70E51">
        <w:rPr>
          <w:sz w:val="28"/>
          <w:szCs w:val="28"/>
        </w:rPr>
        <w:t>суб’єкт</w:t>
      </w:r>
      <w:r w:rsidR="00E70E51">
        <w:rPr>
          <w:sz w:val="28"/>
          <w:szCs w:val="28"/>
        </w:rPr>
        <w:t>ів</w:t>
      </w:r>
      <w:r w:rsidR="00E70E51" w:rsidRPr="00E70E51">
        <w:rPr>
          <w:sz w:val="28"/>
          <w:szCs w:val="28"/>
        </w:rPr>
        <w:t xml:space="preserve"> освітньої діяльності</w:t>
      </w:r>
      <w:r w:rsidRPr="005C0CC4">
        <w:rPr>
          <w:sz w:val="28"/>
          <w:szCs w:val="28"/>
        </w:rPr>
        <w:t>.</w:t>
      </w:r>
    </w:p>
    <w:p w14:paraId="6BCDFAA6" w14:textId="77777777" w:rsidR="00924C7E" w:rsidRPr="005C0CC4" w:rsidRDefault="00924C7E" w:rsidP="00924C7E">
      <w:pPr>
        <w:contextualSpacing/>
        <w:jc w:val="both"/>
        <w:rPr>
          <w:sz w:val="28"/>
          <w:szCs w:val="28"/>
        </w:rPr>
      </w:pPr>
    </w:p>
    <w:p w14:paraId="5815ADB6" w14:textId="77777777" w:rsidR="00924C7E" w:rsidRPr="005C0CC4" w:rsidRDefault="00924C7E" w:rsidP="00924C7E">
      <w:pPr>
        <w:contextualSpacing/>
        <w:jc w:val="center"/>
        <w:rPr>
          <w:b/>
          <w:sz w:val="28"/>
          <w:szCs w:val="28"/>
        </w:rPr>
      </w:pPr>
      <w:r w:rsidRPr="005C0CC4">
        <w:rPr>
          <w:b/>
          <w:sz w:val="28"/>
          <w:szCs w:val="28"/>
        </w:rPr>
        <w:t>Мета і строки реалізації Концепції</w:t>
      </w:r>
    </w:p>
    <w:p w14:paraId="5B708D13" w14:textId="77777777" w:rsidR="00CC29E3" w:rsidRPr="005C0CC4" w:rsidRDefault="00CC29E3" w:rsidP="00924C7E">
      <w:pPr>
        <w:contextualSpacing/>
        <w:jc w:val="center"/>
        <w:rPr>
          <w:b/>
          <w:sz w:val="20"/>
          <w:szCs w:val="20"/>
        </w:rPr>
      </w:pPr>
    </w:p>
    <w:p w14:paraId="35384C36" w14:textId="1914FCB0" w:rsidR="00615F6A" w:rsidRDefault="00924C7E" w:rsidP="00615F6A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Метою Концепції є </w:t>
      </w:r>
      <w:bookmarkStart w:id="3" w:name="_Hlk184810748"/>
      <w:r w:rsidRPr="005C0CC4">
        <w:rPr>
          <w:sz w:val="28"/>
          <w:szCs w:val="28"/>
        </w:rPr>
        <w:t xml:space="preserve">забезпечення </w:t>
      </w:r>
      <w:bookmarkStart w:id="4" w:name="_Hlk184902004"/>
      <w:r w:rsidRPr="005C0CC4">
        <w:rPr>
          <w:sz w:val="28"/>
          <w:szCs w:val="28"/>
        </w:rPr>
        <w:t xml:space="preserve">цифрової гігієни дітей </w:t>
      </w:r>
      <w:bookmarkEnd w:id="3"/>
      <w:bookmarkEnd w:id="4"/>
      <w:r w:rsidR="00615F6A">
        <w:rPr>
          <w:sz w:val="28"/>
          <w:szCs w:val="28"/>
        </w:rPr>
        <w:t xml:space="preserve">через </w:t>
      </w:r>
      <w:r w:rsidR="00F907BD" w:rsidRPr="00F907BD">
        <w:rPr>
          <w:sz w:val="28"/>
          <w:szCs w:val="28"/>
        </w:rPr>
        <w:t>запровадження певних обмежень використання цифрових технологій під час освітнього процесу;</w:t>
      </w:r>
      <w:r w:rsidR="00615F6A">
        <w:rPr>
          <w:sz w:val="28"/>
          <w:szCs w:val="28"/>
        </w:rPr>
        <w:t xml:space="preserve"> </w:t>
      </w:r>
      <w:r w:rsidR="00F907BD" w:rsidRPr="00F907BD">
        <w:rPr>
          <w:sz w:val="28"/>
          <w:szCs w:val="28"/>
        </w:rPr>
        <w:t>формування у дітей старшого дошкільного віку компетентностей з використання цифрових технологій</w:t>
      </w:r>
      <w:r w:rsidR="00212FDD">
        <w:rPr>
          <w:sz w:val="28"/>
          <w:szCs w:val="28"/>
        </w:rPr>
        <w:t xml:space="preserve">; </w:t>
      </w:r>
      <w:r w:rsidR="00F907BD" w:rsidRPr="00F907BD">
        <w:rPr>
          <w:sz w:val="28"/>
          <w:szCs w:val="28"/>
        </w:rPr>
        <w:t>підвищення обізнаності дорослих, безпосередньо дотичних до використання цифрових технологій</w:t>
      </w:r>
      <w:r w:rsidR="00212FDD">
        <w:rPr>
          <w:sz w:val="28"/>
          <w:szCs w:val="28"/>
        </w:rPr>
        <w:t xml:space="preserve"> </w:t>
      </w:r>
      <w:r w:rsidR="00F907BD" w:rsidRPr="00F907BD">
        <w:rPr>
          <w:sz w:val="28"/>
          <w:szCs w:val="28"/>
        </w:rPr>
        <w:t>дітьми.</w:t>
      </w:r>
      <w:r w:rsidR="00615F6A">
        <w:rPr>
          <w:sz w:val="28"/>
          <w:szCs w:val="28"/>
        </w:rPr>
        <w:t xml:space="preserve"> </w:t>
      </w:r>
    </w:p>
    <w:p w14:paraId="2B0E15D0" w14:textId="318778F6" w:rsidR="00924C7E" w:rsidRPr="005C0CC4" w:rsidRDefault="00924C7E" w:rsidP="00615F6A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Строк реалізації Концепції – 2025-2028 роки. </w:t>
      </w:r>
    </w:p>
    <w:p w14:paraId="5667A50D" w14:textId="77777777" w:rsidR="00924C7E" w:rsidRPr="005C0CC4" w:rsidRDefault="00924C7E" w:rsidP="00924C7E">
      <w:pPr>
        <w:contextualSpacing/>
        <w:rPr>
          <w:b/>
          <w:sz w:val="28"/>
          <w:szCs w:val="28"/>
        </w:rPr>
      </w:pPr>
    </w:p>
    <w:p w14:paraId="6133D16A" w14:textId="77777777" w:rsidR="00924C7E" w:rsidRPr="005C0CC4" w:rsidRDefault="00924C7E" w:rsidP="00924C7E">
      <w:pPr>
        <w:contextualSpacing/>
        <w:jc w:val="center"/>
        <w:rPr>
          <w:b/>
          <w:sz w:val="28"/>
          <w:szCs w:val="28"/>
        </w:rPr>
      </w:pPr>
      <w:r w:rsidRPr="005C0CC4">
        <w:rPr>
          <w:b/>
          <w:sz w:val="28"/>
          <w:szCs w:val="28"/>
        </w:rPr>
        <w:t>Завдання та заходи, спрямовані на розв’язання проблем</w:t>
      </w:r>
    </w:p>
    <w:p w14:paraId="7CB6241A" w14:textId="77777777" w:rsidR="00CC29E3" w:rsidRPr="005C0CC4" w:rsidRDefault="00CC29E3" w:rsidP="00924C7E">
      <w:pPr>
        <w:contextualSpacing/>
        <w:jc w:val="center"/>
        <w:rPr>
          <w:b/>
          <w:sz w:val="20"/>
          <w:szCs w:val="20"/>
        </w:rPr>
      </w:pPr>
    </w:p>
    <w:p w14:paraId="1BF5CCB7" w14:textId="77777777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Основними завданнями, спрямованими на розв’язання визначених у Концепції проблем, є:</w:t>
      </w:r>
    </w:p>
    <w:p w14:paraId="3FBB4FF6" w14:textId="5F15CBF6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створення безпечної цифрової інфраструктури </w:t>
      </w:r>
      <w:r w:rsidR="00973B10" w:rsidRPr="00973B10">
        <w:rPr>
          <w:sz w:val="28"/>
          <w:szCs w:val="28"/>
        </w:rPr>
        <w:t>суб’єктів освітньої діяльності</w:t>
      </w:r>
      <w:r w:rsidRPr="005C0CC4">
        <w:rPr>
          <w:sz w:val="28"/>
          <w:szCs w:val="28"/>
        </w:rPr>
        <w:t>;</w:t>
      </w:r>
    </w:p>
    <w:p w14:paraId="0FF77526" w14:textId="77777777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ефективне попередження та протидія негативним наслідкам використання цифрових технологій дітьми дошкільного віку;</w:t>
      </w:r>
    </w:p>
    <w:p w14:paraId="66B9CFC9" w14:textId="77777777" w:rsidR="005A79AB" w:rsidRDefault="005A79AB" w:rsidP="005A79AB">
      <w:pPr>
        <w:ind w:firstLine="566"/>
        <w:contextualSpacing/>
        <w:jc w:val="center"/>
        <w:rPr>
          <w:color w:val="7F7F7F" w:themeColor="text1" w:themeTint="80"/>
          <w:sz w:val="28"/>
          <w:szCs w:val="28"/>
        </w:rPr>
      </w:pPr>
      <w:r w:rsidRPr="00973B10">
        <w:rPr>
          <w:color w:val="7F7F7F" w:themeColor="text1" w:themeTint="80"/>
          <w:sz w:val="28"/>
          <w:szCs w:val="28"/>
        </w:rPr>
        <w:lastRenderedPageBreak/>
        <w:t>3</w:t>
      </w:r>
    </w:p>
    <w:p w14:paraId="384AC5AD" w14:textId="77777777" w:rsidR="005A79AB" w:rsidRDefault="005A79AB" w:rsidP="005A79AB">
      <w:pPr>
        <w:ind w:firstLine="566"/>
        <w:contextualSpacing/>
        <w:jc w:val="center"/>
        <w:rPr>
          <w:color w:val="7F7F7F" w:themeColor="text1" w:themeTint="80"/>
          <w:sz w:val="28"/>
          <w:szCs w:val="28"/>
        </w:rPr>
      </w:pPr>
    </w:p>
    <w:p w14:paraId="3826F114" w14:textId="0165335B" w:rsidR="00973B10" w:rsidRPr="005A79AB" w:rsidRDefault="00924C7E" w:rsidP="005A79AB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формування цифрової компетентності в учасників освітнього процесу.</w:t>
      </w:r>
    </w:p>
    <w:p w14:paraId="33337586" w14:textId="2B6EE393" w:rsidR="00924C7E" w:rsidRPr="005C0CC4" w:rsidRDefault="00924C7E" w:rsidP="00973B10">
      <w:pPr>
        <w:ind w:firstLine="566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Створення безпечної цифрової інфраструктури </w:t>
      </w:r>
      <w:r w:rsidR="00973B10" w:rsidRPr="00973B10">
        <w:rPr>
          <w:sz w:val="28"/>
          <w:szCs w:val="28"/>
        </w:rPr>
        <w:t>суб’єктів освітньої діяльності</w:t>
      </w:r>
      <w:r w:rsidR="00973B10">
        <w:rPr>
          <w:sz w:val="28"/>
          <w:szCs w:val="28"/>
        </w:rPr>
        <w:t xml:space="preserve"> </w:t>
      </w:r>
      <w:r w:rsidRPr="005C0CC4">
        <w:rPr>
          <w:sz w:val="28"/>
          <w:szCs w:val="28"/>
        </w:rPr>
        <w:t>можливо забезпечити шляхом:</w:t>
      </w:r>
    </w:p>
    <w:p w14:paraId="55E82AD7" w14:textId="15ECFA72" w:rsidR="00924C7E" w:rsidRPr="005C0CC4" w:rsidRDefault="00924C7E" w:rsidP="00ED36CD">
      <w:pPr>
        <w:ind w:firstLine="566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удосконалення нормативно-правової бази з питань використання цифрових технологій в освітньому середовищі відповідно до технологічних змін та відповідно до європейських правових ініціатив, результатів вітчизняних та міжнародних досліджень на основі наукового аналізу досвіду. Виконавцями заходу визначено МОН</w:t>
      </w:r>
      <w:r w:rsidR="001016A8">
        <w:rPr>
          <w:sz w:val="28"/>
          <w:szCs w:val="28"/>
        </w:rPr>
        <w:t>,</w:t>
      </w:r>
      <w:r w:rsidR="001016A8" w:rsidRPr="001016A8">
        <w:rPr>
          <w:sz w:val="28"/>
          <w:szCs w:val="28"/>
        </w:rPr>
        <w:t xml:space="preserve"> </w:t>
      </w:r>
      <w:r w:rsidR="001016A8" w:rsidRPr="005C0CC4">
        <w:rPr>
          <w:sz w:val="28"/>
          <w:szCs w:val="28"/>
        </w:rPr>
        <w:t>МОЗ,</w:t>
      </w:r>
      <w:r w:rsidRPr="005C0CC4">
        <w:rPr>
          <w:sz w:val="28"/>
          <w:szCs w:val="28"/>
        </w:rPr>
        <w:t xml:space="preserve"> НАПН</w:t>
      </w:r>
      <w:r w:rsidR="00B70E8A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</w:t>
      </w:r>
      <w:proofErr w:type="spellStart"/>
      <w:r w:rsidRPr="005C0CC4">
        <w:rPr>
          <w:sz w:val="28"/>
          <w:szCs w:val="28"/>
        </w:rPr>
        <w:t>Мінцифри</w:t>
      </w:r>
      <w:proofErr w:type="spellEnd"/>
      <w:r w:rsidRPr="005C0CC4">
        <w:rPr>
          <w:sz w:val="28"/>
          <w:szCs w:val="28"/>
        </w:rPr>
        <w:t xml:space="preserve">; строк виконання </w:t>
      </w:r>
      <w:r w:rsidR="00E01CB1" w:rsidRPr="005C0CC4">
        <w:rPr>
          <w:sz w:val="28"/>
          <w:szCs w:val="28"/>
        </w:rPr>
        <w:t xml:space="preserve">–                 </w:t>
      </w:r>
      <w:r w:rsidRPr="005C0CC4">
        <w:rPr>
          <w:sz w:val="28"/>
          <w:szCs w:val="28"/>
        </w:rPr>
        <w:t xml:space="preserve"> 2025-2028 р</w:t>
      </w:r>
      <w:r w:rsidR="00E01CB1" w:rsidRPr="005C0CC4">
        <w:rPr>
          <w:sz w:val="28"/>
          <w:szCs w:val="28"/>
        </w:rPr>
        <w:t>оки</w:t>
      </w:r>
      <w:r w:rsidRPr="005C0CC4">
        <w:rPr>
          <w:sz w:val="28"/>
          <w:szCs w:val="28"/>
        </w:rPr>
        <w:t>;</w:t>
      </w:r>
    </w:p>
    <w:p w14:paraId="46C05C69" w14:textId="0CB33615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сприяння розробленню україномовного освітнього цифрового контенту для дошкільної</w:t>
      </w:r>
      <w:r w:rsidR="00872B20">
        <w:rPr>
          <w:sz w:val="28"/>
          <w:szCs w:val="28"/>
        </w:rPr>
        <w:t xml:space="preserve"> та/або позашкільної</w:t>
      </w:r>
      <w:r w:rsidRPr="005C0CC4">
        <w:rPr>
          <w:sz w:val="28"/>
          <w:szCs w:val="28"/>
        </w:rPr>
        <w:t xml:space="preserve"> освіти. Виконавцями заходу визначено МОН, </w:t>
      </w:r>
      <w:proofErr w:type="spellStart"/>
      <w:r w:rsidR="00FA2BF6" w:rsidRPr="005C0CC4">
        <w:rPr>
          <w:sz w:val="28"/>
          <w:szCs w:val="28"/>
        </w:rPr>
        <w:t>Мінцифри</w:t>
      </w:r>
      <w:proofErr w:type="spellEnd"/>
      <w:r w:rsidR="00FA2BF6" w:rsidRPr="005C0CC4">
        <w:rPr>
          <w:sz w:val="28"/>
          <w:szCs w:val="28"/>
        </w:rPr>
        <w:t xml:space="preserve">, </w:t>
      </w:r>
      <w:r w:rsidRPr="005C0CC4">
        <w:rPr>
          <w:sz w:val="28"/>
          <w:szCs w:val="28"/>
        </w:rPr>
        <w:t>НАПН</w:t>
      </w:r>
      <w:r w:rsidR="00B70E8A">
        <w:rPr>
          <w:sz w:val="28"/>
          <w:szCs w:val="28"/>
        </w:rPr>
        <w:t xml:space="preserve"> (за згодою)</w:t>
      </w:r>
      <w:r w:rsidR="001B4FC9" w:rsidRPr="005C0CC4">
        <w:rPr>
          <w:sz w:val="28"/>
          <w:szCs w:val="28"/>
        </w:rPr>
        <w:t>, громадські об’єднання та міжнародні організації (за згодою)</w:t>
      </w:r>
      <w:r w:rsidR="00E01CB1" w:rsidRPr="005C0CC4">
        <w:rPr>
          <w:sz w:val="28"/>
          <w:szCs w:val="28"/>
        </w:rPr>
        <w:t xml:space="preserve">; </w:t>
      </w:r>
      <w:r w:rsidRPr="005C0CC4">
        <w:rPr>
          <w:sz w:val="28"/>
          <w:szCs w:val="28"/>
        </w:rPr>
        <w:t xml:space="preserve">строк виконання </w:t>
      </w:r>
      <w:r w:rsidR="00E01CB1" w:rsidRPr="005C0CC4">
        <w:rPr>
          <w:sz w:val="28"/>
          <w:szCs w:val="28"/>
        </w:rPr>
        <w:t xml:space="preserve">– </w:t>
      </w:r>
      <w:r w:rsidRPr="005C0CC4">
        <w:rPr>
          <w:sz w:val="28"/>
          <w:szCs w:val="28"/>
        </w:rPr>
        <w:t>2025-2028 роки;</w:t>
      </w:r>
    </w:p>
    <w:p w14:paraId="5CA60DF8" w14:textId="4D7CDA23" w:rsidR="00924C7E" w:rsidRPr="005C0CC4" w:rsidRDefault="00924C7E" w:rsidP="00924C7E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запровадження моніторингу забезпечення цифровими технологіями працівників </w:t>
      </w:r>
      <w:r w:rsidR="00E70E51" w:rsidRPr="00E70E51">
        <w:rPr>
          <w:sz w:val="28"/>
          <w:szCs w:val="28"/>
        </w:rPr>
        <w:t>суб’єкт</w:t>
      </w:r>
      <w:r w:rsidR="00E70E51">
        <w:rPr>
          <w:sz w:val="28"/>
          <w:szCs w:val="28"/>
        </w:rPr>
        <w:t>ів</w:t>
      </w:r>
      <w:r w:rsidR="00E70E51" w:rsidRPr="00E70E51">
        <w:rPr>
          <w:sz w:val="28"/>
          <w:szCs w:val="28"/>
        </w:rPr>
        <w:t xml:space="preserve"> освітньої діяльності</w:t>
      </w:r>
      <w:r w:rsidRPr="005C0CC4">
        <w:rPr>
          <w:sz w:val="28"/>
          <w:szCs w:val="28"/>
        </w:rPr>
        <w:t xml:space="preserve">. Виконавцями заходу визначено </w:t>
      </w:r>
      <w:r w:rsidR="00544FFF">
        <w:rPr>
          <w:sz w:val="28"/>
          <w:szCs w:val="28"/>
        </w:rPr>
        <w:t xml:space="preserve">    </w:t>
      </w:r>
      <w:r w:rsidRPr="005C0CC4">
        <w:rPr>
          <w:sz w:val="28"/>
          <w:szCs w:val="28"/>
        </w:rPr>
        <w:t>ДНУ ІОА</w:t>
      </w:r>
      <w:r w:rsidR="00B70E8A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МОН; строк виконання </w:t>
      </w:r>
      <w:r w:rsidR="00E01CB1" w:rsidRPr="005C0CC4">
        <w:rPr>
          <w:sz w:val="28"/>
          <w:szCs w:val="28"/>
        </w:rPr>
        <w:t xml:space="preserve">– </w:t>
      </w:r>
      <w:r w:rsidRPr="005C0CC4">
        <w:rPr>
          <w:sz w:val="28"/>
          <w:szCs w:val="28"/>
        </w:rPr>
        <w:t>2025, 2028 роки.</w:t>
      </w:r>
    </w:p>
    <w:p w14:paraId="6972DD86" w14:textId="77777777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Ефективне попередження та протидію негативним наслідкам використання цифрових технологій дітьми дошкільного віку можливо забезпечити шляхом:</w:t>
      </w:r>
    </w:p>
    <w:p w14:paraId="76A9563C" w14:textId="4860D0BA" w:rsidR="00924C7E" w:rsidRPr="005C0CC4" w:rsidRDefault="00924C7E" w:rsidP="00924C7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підвищення обізнаності виробників і розповсюджувачів цифрового контенту щодо ризиків </w:t>
      </w:r>
      <w:r w:rsidR="002E536F">
        <w:rPr>
          <w:sz w:val="28"/>
          <w:szCs w:val="28"/>
        </w:rPr>
        <w:t xml:space="preserve">його </w:t>
      </w:r>
      <w:r w:rsidRPr="005C0CC4">
        <w:rPr>
          <w:sz w:val="28"/>
          <w:szCs w:val="28"/>
        </w:rPr>
        <w:t xml:space="preserve">впливу на розвиток дитини, відповідальності виробників за інформування споживачів (батьків) щодо безпечних способів використання цифрового контенту. Виконавцями заходу визначено </w:t>
      </w:r>
      <w:r w:rsidR="00FA2BF6" w:rsidRPr="005C0CC4">
        <w:rPr>
          <w:sz w:val="28"/>
          <w:szCs w:val="28"/>
        </w:rPr>
        <w:t xml:space="preserve">МКСК, </w:t>
      </w:r>
      <w:proofErr w:type="spellStart"/>
      <w:r w:rsidR="00FA2BF6" w:rsidRPr="005C0CC4">
        <w:rPr>
          <w:sz w:val="28"/>
          <w:szCs w:val="28"/>
        </w:rPr>
        <w:t>Мінцифри</w:t>
      </w:r>
      <w:proofErr w:type="spellEnd"/>
      <w:r w:rsidR="00FA2BF6" w:rsidRPr="005C0CC4">
        <w:rPr>
          <w:sz w:val="28"/>
          <w:szCs w:val="28"/>
        </w:rPr>
        <w:t xml:space="preserve">, </w:t>
      </w:r>
      <w:r w:rsidRPr="005C0CC4">
        <w:rPr>
          <w:sz w:val="28"/>
          <w:szCs w:val="28"/>
        </w:rPr>
        <w:t>МОН, НАПН</w:t>
      </w:r>
      <w:r w:rsidR="00B70E8A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Національну раду України з питань телебачення </w:t>
      </w:r>
      <w:r w:rsidR="00544FFF">
        <w:rPr>
          <w:sz w:val="28"/>
          <w:szCs w:val="28"/>
        </w:rPr>
        <w:t>і</w:t>
      </w:r>
      <w:r w:rsidRPr="005C0CC4">
        <w:rPr>
          <w:sz w:val="28"/>
          <w:szCs w:val="28"/>
        </w:rPr>
        <w:t xml:space="preserve"> радіомовлення</w:t>
      </w:r>
      <w:r w:rsidR="00E32D6F" w:rsidRPr="005C0CC4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; строк виконання </w:t>
      </w:r>
      <w:r w:rsidR="00E01CB1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2025-2028 роки.</w:t>
      </w:r>
    </w:p>
    <w:p w14:paraId="595E45F7" w14:textId="77777777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Формування цифрової компетентності в учасників освітнього процесу можливо забезпечити шляхом:</w:t>
      </w:r>
    </w:p>
    <w:p w14:paraId="10AEEC7A" w14:textId="0E8DAC65" w:rsidR="00924C7E" w:rsidRPr="005C0CC4" w:rsidRDefault="00924C7E" w:rsidP="00924C7E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розроблення рекомендацій для батьків щодо формування </w:t>
      </w:r>
      <w:r w:rsidR="002E536F">
        <w:rPr>
          <w:sz w:val="28"/>
          <w:szCs w:val="28"/>
        </w:rPr>
        <w:t xml:space="preserve">навичок </w:t>
      </w:r>
      <w:r w:rsidRPr="005C0CC4">
        <w:rPr>
          <w:sz w:val="28"/>
          <w:szCs w:val="28"/>
        </w:rPr>
        <w:t>безпечного використання цифрових технологій у взаємодії з дитиною. Виконавцями заходу визначено НАПН</w:t>
      </w:r>
      <w:r w:rsidR="00B70E8A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МОН, МОЗ, </w:t>
      </w:r>
      <w:proofErr w:type="spellStart"/>
      <w:r w:rsidRPr="005C0CC4">
        <w:rPr>
          <w:sz w:val="28"/>
          <w:szCs w:val="28"/>
        </w:rPr>
        <w:t>Мінцифри</w:t>
      </w:r>
      <w:proofErr w:type="spellEnd"/>
      <w:r w:rsidRPr="005C0CC4">
        <w:rPr>
          <w:sz w:val="28"/>
          <w:szCs w:val="28"/>
        </w:rPr>
        <w:t xml:space="preserve">; строк виконання </w:t>
      </w:r>
      <w:r w:rsidR="00E01CB1" w:rsidRPr="005C0CC4">
        <w:rPr>
          <w:sz w:val="28"/>
          <w:szCs w:val="28"/>
        </w:rPr>
        <w:t xml:space="preserve">– </w:t>
      </w:r>
      <w:r w:rsidRPr="005C0CC4">
        <w:rPr>
          <w:sz w:val="28"/>
          <w:szCs w:val="28"/>
        </w:rPr>
        <w:t xml:space="preserve">2025-2026 </w:t>
      </w:r>
      <w:r w:rsidR="00E01CB1" w:rsidRPr="005C0CC4">
        <w:rPr>
          <w:sz w:val="28"/>
          <w:szCs w:val="28"/>
        </w:rPr>
        <w:t>роки</w:t>
      </w:r>
      <w:r w:rsidRPr="005C0CC4">
        <w:rPr>
          <w:sz w:val="28"/>
          <w:szCs w:val="28"/>
        </w:rPr>
        <w:t>;</w:t>
      </w:r>
    </w:p>
    <w:p w14:paraId="21B2AC56" w14:textId="00E89EB8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проведення інформаційно-просвітницької кампанії серед батьків та педагогічних працівників </w:t>
      </w:r>
      <w:r w:rsidR="00077BCD" w:rsidRPr="00077BCD">
        <w:rPr>
          <w:sz w:val="28"/>
          <w:szCs w:val="28"/>
        </w:rPr>
        <w:t>суб’єктів освітньої діяльності</w:t>
      </w:r>
      <w:r w:rsidRPr="005C0CC4">
        <w:rPr>
          <w:sz w:val="28"/>
          <w:szCs w:val="28"/>
        </w:rPr>
        <w:t xml:space="preserve"> щодо ризиків і переваг цифрового середовища для розвитку дитини та рівня обізнаності щодо цифрової гігієни. Виконавцями заходу визначено МОН, НАПН</w:t>
      </w:r>
      <w:r w:rsidR="00B70E8A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Національну раду України з питань телебачення </w:t>
      </w:r>
      <w:r w:rsidR="00544FFF">
        <w:rPr>
          <w:sz w:val="28"/>
          <w:szCs w:val="28"/>
        </w:rPr>
        <w:t>і</w:t>
      </w:r>
      <w:r w:rsidRPr="005C0CC4">
        <w:rPr>
          <w:sz w:val="28"/>
          <w:szCs w:val="28"/>
        </w:rPr>
        <w:t xml:space="preserve"> радіомовлення, </w:t>
      </w:r>
      <w:bookmarkStart w:id="5" w:name="_Hlk184810417"/>
      <w:r w:rsidRPr="005C0CC4">
        <w:rPr>
          <w:sz w:val="28"/>
          <w:szCs w:val="28"/>
        </w:rPr>
        <w:t xml:space="preserve">Координаційний центр психічного здоров’я при </w:t>
      </w:r>
      <w:bookmarkEnd w:id="5"/>
      <w:r w:rsidR="00652902" w:rsidRPr="005C0CC4">
        <w:rPr>
          <w:sz w:val="28"/>
          <w:szCs w:val="28"/>
        </w:rPr>
        <w:t>Кабінеті Міністрів України</w:t>
      </w:r>
      <w:r w:rsidRPr="005C0CC4">
        <w:rPr>
          <w:sz w:val="28"/>
          <w:szCs w:val="28"/>
        </w:rPr>
        <w:t xml:space="preserve">, </w:t>
      </w:r>
      <w:r w:rsidR="00324BC6" w:rsidRPr="005C0CC4">
        <w:rPr>
          <w:sz w:val="28"/>
          <w:szCs w:val="28"/>
        </w:rPr>
        <w:t>МКСК</w:t>
      </w:r>
      <w:r w:rsidRPr="005C0CC4">
        <w:rPr>
          <w:sz w:val="28"/>
          <w:szCs w:val="28"/>
        </w:rPr>
        <w:t xml:space="preserve">, </w:t>
      </w:r>
      <w:r w:rsidR="001B4FC9" w:rsidRPr="005C0CC4">
        <w:rPr>
          <w:sz w:val="28"/>
          <w:szCs w:val="28"/>
        </w:rPr>
        <w:t>органи місцевого самоврядування</w:t>
      </w:r>
      <w:r w:rsidRPr="005C0CC4">
        <w:rPr>
          <w:sz w:val="28"/>
          <w:szCs w:val="28"/>
        </w:rPr>
        <w:t xml:space="preserve">; строк виконання </w:t>
      </w:r>
      <w:r w:rsidR="00E01CB1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2025-2028 роки;</w:t>
      </w:r>
    </w:p>
    <w:p w14:paraId="5E8A1291" w14:textId="21296034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розроблення методології оцінювання ризиків використання учасниками освітнього процесу цифрових технологій та їх негативних наслідків для започаткування моніторингу цифрової гігієни. Виконавцями заходу визначено НАПН</w:t>
      </w:r>
      <w:r w:rsidR="00B70E8A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МОН, МОЗ; строк виконання </w:t>
      </w:r>
      <w:r w:rsidR="00E01CB1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2025-2028 роки;</w:t>
      </w:r>
    </w:p>
    <w:p w14:paraId="04B6129B" w14:textId="77777777" w:rsidR="005A79AB" w:rsidRDefault="005A79AB" w:rsidP="005A79AB">
      <w:pPr>
        <w:ind w:firstLine="709"/>
        <w:contextualSpacing/>
        <w:jc w:val="center"/>
        <w:rPr>
          <w:color w:val="7F7F7F" w:themeColor="text1" w:themeTint="80"/>
          <w:sz w:val="28"/>
          <w:szCs w:val="28"/>
        </w:rPr>
      </w:pPr>
      <w:r w:rsidRPr="00973B10">
        <w:rPr>
          <w:color w:val="7F7F7F" w:themeColor="text1" w:themeTint="80"/>
          <w:sz w:val="28"/>
          <w:szCs w:val="28"/>
        </w:rPr>
        <w:lastRenderedPageBreak/>
        <w:t>4</w:t>
      </w:r>
    </w:p>
    <w:p w14:paraId="5AB7F3C4" w14:textId="77777777" w:rsidR="005A79AB" w:rsidRDefault="005A79AB" w:rsidP="005A79AB">
      <w:pPr>
        <w:ind w:firstLine="709"/>
        <w:contextualSpacing/>
        <w:jc w:val="center"/>
        <w:rPr>
          <w:color w:val="7F7F7F" w:themeColor="text1" w:themeTint="80"/>
          <w:sz w:val="28"/>
          <w:szCs w:val="28"/>
        </w:rPr>
      </w:pPr>
    </w:p>
    <w:p w14:paraId="30209A0E" w14:textId="5E0F8476" w:rsidR="005A79AB" w:rsidRPr="005A79AB" w:rsidRDefault="00924C7E" w:rsidP="005A79AB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розроблення типової програми підвищення кваліфікації для педагогічних працівників </w:t>
      </w:r>
      <w:r w:rsidR="00077BCD" w:rsidRPr="00077BCD">
        <w:rPr>
          <w:sz w:val="28"/>
          <w:szCs w:val="28"/>
        </w:rPr>
        <w:t>суб’єктів освітньої діяльності</w:t>
      </w:r>
      <w:r w:rsidRPr="005C0CC4">
        <w:rPr>
          <w:sz w:val="28"/>
          <w:szCs w:val="28"/>
        </w:rPr>
        <w:t xml:space="preserve"> з цифрової гігієни дітей дошкільного </w:t>
      </w:r>
    </w:p>
    <w:p w14:paraId="71F72EC6" w14:textId="1EAD8E77" w:rsidR="00924C7E" w:rsidRPr="005C0CC4" w:rsidRDefault="00924C7E" w:rsidP="00973B10">
      <w:pPr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віку. Виконавцями заходу визначено </w:t>
      </w:r>
      <w:r w:rsidR="00E01CB1" w:rsidRPr="005C0CC4">
        <w:rPr>
          <w:sz w:val="28"/>
          <w:szCs w:val="28"/>
        </w:rPr>
        <w:t xml:space="preserve">ДУ </w:t>
      </w:r>
      <w:r w:rsidRPr="005C0CC4">
        <w:rPr>
          <w:sz w:val="28"/>
          <w:szCs w:val="28"/>
        </w:rPr>
        <w:t>УІРО</w:t>
      </w:r>
      <w:r w:rsidR="00B70E8A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>, НАПН</w:t>
      </w:r>
      <w:r w:rsidR="00B70E8A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МОН; строк виконання </w:t>
      </w:r>
      <w:r w:rsidR="00E01CB1" w:rsidRPr="005C0CC4">
        <w:rPr>
          <w:sz w:val="28"/>
          <w:szCs w:val="28"/>
        </w:rPr>
        <w:t xml:space="preserve">– </w:t>
      </w:r>
      <w:r w:rsidRPr="005C0CC4">
        <w:rPr>
          <w:sz w:val="28"/>
          <w:szCs w:val="28"/>
        </w:rPr>
        <w:t>2025 рік;</w:t>
      </w:r>
    </w:p>
    <w:p w14:paraId="32CA4390" w14:textId="7EC96DEF" w:rsidR="00924C7E" w:rsidRPr="005C0CC4" w:rsidRDefault="00924C7E" w:rsidP="003B34D2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перегляду та актуалізації </w:t>
      </w:r>
      <w:r w:rsidR="003B34D2" w:rsidRPr="005C0CC4">
        <w:rPr>
          <w:sz w:val="28"/>
          <w:szCs w:val="28"/>
        </w:rPr>
        <w:t xml:space="preserve">стандартів </w:t>
      </w:r>
      <w:r w:rsidR="002E536F">
        <w:rPr>
          <w:sz w:val="28"/>
          <w:szCs w:val="28"/>
        </w:rPr>
        <w:t xml:space="preserve">фахової передвищої та </w:t>
      </w:r>
      <w:r w:rsidR="003B34D2" w:rsidRPr="005C0CC4">
        <w:rPr>
          <w:sz w:val="28"/>
          <w:szCs w:val="28"/>
        </w:rPr>
        <w:t xml:space="preserve">вищої освіти, </w:t>
      </w:r>
      <w:r w:rsidRPr="005C0CC4">
        <w:rPr>
          <w:sz w:val="28"/>
          <w:szCs w:val="28"/>
        </w:rPr>
        <w:t>освітніх програм на здобуття</w:t>
      </w:r>
      <w:r w:rsidR="002E536F" w:rsidRPr="002E536F">
        <w:t xml:space="preserve"> </w:t>
      </w:r>
      <w:r w:rsidR="002E536F" w:rsidRPr="002E536F">
        <w:rPr>
          <w:sz w:val="28"/>
          <w:szCs w:val="28"/>
        </w:rPr>
        <w:t>освітньо-професійного ступеня фаховий молодший бакалавр та</w:t>
      </w:r>
      <w:r w:rsidRPr="005C0CC4">
        <w:rPr>
          <w:sz w:val="28"/>
          <w:szCs w:val="28"/>
        </w:rPr>
        <w:t xml:space="preserve"> </w:t>
      </w:r>
      <w:r w:rsidR="002E536F">
        <w:rPr>
          <w:sz w:val="28"/>
          <w:szCs w:val="28"/>
        </w:rPr>
        <w:t>освітньо-</w:t>
      </w:r>
      <w:r w:rsidRPr="005C0CC4">
        <w:rPr>
          <w:sz w:val="28"/>
          <w:szCs w:val="28"/>
        </w:rPr>
        <w:t>кваліфікаційного рівня бакалавр чи магістр в галузі знань Освіта (Дошкільна освіта</w:t>
      </w:r>
      <w:r w:rsidR="00872B20">
        <w:rPr>
          <w:sz w:val="28"/>
          <w:szCs w:val="28"/>
        </w:rPr>
        <w:t xml:space="preserve">, </w:t>
      </w:r>
      <w:r w:rsidR="00872B20" w:rsidRPr="00872B20">
        <w:rPr>
          <w:sz w:val="28"/>
          <w:szCs w:val="28"/>
        </w:rPr>
        <w:t>Осв</w:t>
      </w:r>
      <w:r w:rsidR="00872B20">
        <w:rPr>
          <w:sz w:val="28"/>
          <w:szCs w:val="28"/>
        </w:rPr>
        <w:t>і</w:t>
      </w:r>
      <w:r w:rsidR="00872B20" w:rsidRPr="00872B20">
        <w:rPr>
          <w:sz w:val="28"/>
          <w:szCs w:val="28"/>
        </w:rPr>
        <w:t>тні педагогічні науки (Позашкільна освіта)</w:t>
      </w:r>
      <w:r w:rsidRPr="005C0CC4">
        <w:rPr>
          <w:sz w:val="28"/>
          <w:szCs w:val="28"/>
        </w:rPr>
        <w:t xml:space="preserve">) та внесення відповідних програмних результатів </w:t>
      </w:r>
      <w:r w:rsidR="002E536F">
        <w:rPr>
          <w:sz w:val="28"/>
          <w:szCs w:val="28"/>
        </w:rPr>
        <w:t xml:space="preserve">навчання </w:t>
      </w:r>
      <w:r w:rsidRPr="005C0CC4">
        <w:rPr>
          <w:sz w:val="28"/>
          <w:szCs w:val="28"/>
        </w:rPr>
        <w:t xml:space="preserve">з питань цифрової гігієни дітей </w:t>
      </w:r>
      <w:r w:rsidR="001B4FC9" w:rsidRPr="005C0CC4">
        <w:rPr>
          <w:sz w:val="28"/>
          <w:szCs w:val="28"/>
        </w:rPr>
        <w:t xml:space="preserve">дошкільного </w:t>
      </w:r>
      <w:r w:rsidRPr="005C0CC4">
        <w:rPr>
          <w:sz w:val="28"/>
          <w:szCs w:val="28"/>
        </w:rPr>
        <w:t xml:space="preserve">віку. Виконавцями заходу визначено </w:t>
      </w:r>
      <w:r w:rsidR="00210BB9">
        <w:rPr>
          <w:sz w:val="28"/>
          <w:szCs w:val="28"/>
        </w:rPr>
        <w:t>заклади вищої освіти</w:t>
      </w:r>
      <w:r w:rsidR="00561037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</w:t>
      </w:r>
      <w:r w:rsidR="00210BB9">
        <w:rPr>
          <w:sz w:val="28"/>
          <w:szCs w:val="28"/>
        </w:rPr>
        <w:t>заклади фахової передвищої освіти</w:t>
      </w:r>
      <w:r w:rsidR="00561037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>, МОН, НАПН</w:t>
      </w:r>
      <w:r w:rsidR="00561037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; строк виконання </w:t>
      </w:r>
      <w:r w:rsidR="00E01CB1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2025-2026 р</w:t>
      </w:r>
      <w:r w:rsidR="000F0AD5">
        <w:rPr>
          <w:sz w:val="28"/>
          <w:szCs w:val="28"/>
        </w:rPr>
        <w:t>оки</w:t>
      </w:r>
      <w:r w:rsidRPr="005C0CC4">
        <w:rPr>
          <w:sz w:val="28"/>
          <w:szCs w:val="28"/>
        </w:rPr>
        <w:t>;</w:t>
      </w:r>
    </w:p>
    <w:p w14:paraId="148EB8DE" w14:textId="19334972" w:rsidR="00924C7E" w:rsidRPr="005C0CC4" w:rsidRDefault="00924C7E" w:rsidP="00924C7E">
      <w:pPr>
        <w:ind w:firstLine="709"/>
        <w:contextualSpacing/>
        <w:jc w:val="both"/>
        <w:rPr>
          <w:i/>
          <w:sz w:val="28"/>
          <w:szCs w:val="28"/>
          <w:highlight w:val="green"/>
        </w:rPr>
      </w:pPr>
      <w:r w:rsidRPr="005C0CC4">
        <w:rPr>
          <w:sz w:val="28"/>
          <w:szCs w:val="28"/>
        </w:rPr>
        <w:t xml:space="preserve">розроблення курсів з цифрової гігієни для батьків та педагогів </w:t>
      </w:r>
      <w:r w:rsidR="00077BCD" w:rsidRPr="00077BCD">
        <w:rPr>
          <w:sz w:val="28"/>
          <w:szCs w:val="28"/>
        </w:rPr>
        <w:t xml:space="preserve">суб’єктів освітньої діяльності </w:t>
      </w:r>
      <w:r w:rsidR="003B34D2" w:rsidRPr="005C0CC4">
        <w:rPr>
          <w:sz w:val="28"/>
          <w:szCs w:val="28"/>
        </w:rPr>
        <w:t>та розміщення їх на порталі Дія. Освіта</w:t>
      </w:r>
      <w:r w:rsidRPr="005C0CC4">
        <w:rPr>
          <w:sz w:val="28"/>
          <w:szCs w:val="28"/>
        </w:rPr>
        <w:t xml:space="preserve">. Виконавцями заходу визначено </w:t>
      </w:r>
      <w:r w:rsidR="00FA2BF6" w:rsidRPr="005C0CC4">
        <w:rPr>
          <w:sz w:val="28"/>
          <w:szCs w:val="28"/>
        </w:rPr>
        <w:t xml:space="preserve">МОН, </w:t>
      </w:r>
      <w:proofErr w:type="spellStart"/>
      <w:r w:rsidR="003B34D2" w:rsidRPr="005C0CC4">
        <w:rPr>
          <w:sz w:val="28"/>
          <w:szCs w:val="28"/>
        </w:rPr>
        <w:t>Мінцифри</w:t>
      </w:r>
      <w:proofErr w:type="spellEnd"/>
      <w:r w:rsidRPr="005C0CC4">
        <w:rPr>
          <w:sz w:val="28"/>
          <w:szCs w:val="28"/>
        </w:rPr>
        <w:t xml:space="preserve">; строк виконання </w:t>
      </w:r>
      <w:r w:rsidR="00E01CB1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2025-2028 роки;</w:t>
      </w:r>
    </w:p>
    <w:p w14:paraId="4256D00D" w14:textId="67D504AD" w:rsidR="00924C7E" w:rsidRPr="005C0CC4" w:rsidRDefault="00924C7E" w:rsidP="00924C7E">
      <w:pPr>
        <w:ind w:firstLine="709"/>
        <w:contextualSpacing/>
        <w:jc w:val="both"/>
        <w:rPr>
          <w:i/>
          <w:sz w:val="28"/>
          <w:szCs w:val="28"/>
        </w:rPr>
      </w:pPr>
      <w:r w:rsidRPr="005C0CC4">
        <w:rPr>
          <w:sz w:val="28"/>
          <w:szCs w:val="28"/>
        </w:rPr>
        <w:t xml:space="preserve">розроблення методичного посібника з цифрової гігієни для батьків та педагогів </w:t>
      </w:r>
      <w:r w:rsidR="00E70E51" w:rsidRPr="00E70E51">
        <w:rPr>
          <w:sz w:val="28"/>
          <w:szCs w:val="28"/>
        </w:rPr>
        <w:t>суб’єкт</w:t>
      </w:r>
      <w:r w:rsidR="00E70E51">
        <w:rPr>
          <w:sz w:val="28"/>
          <w:szCs w:val="28"/>
        </w:rPr>
        <w:t>ів</w:t>
      </w:r>
      <w:r w:rsidR="00E70E51" w:rsidRPr="00E70E51">
        <w:rPr>
          <w:sz w:val="28"/>
          <w:szCs w:val="28"/>
        </w:rPr>
        <w:t xml:space="preserve"> освітньої діяльності</w:t>
      </w:r>
      <w:r w:rsidRPr="005C0CC4">
        <w:rPr>
          <w:sz w:val="28"/>
          <w:szCs w:val="28"/>
        </w:rPr>
        <w:t>. Виконавцями заходу визначено НАПН</w:t>
      </w:r>
      <w:r w:rsidR="00561037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</w:t>
      </w:r>
      <w:r w:rsidR="00210BB9">
        <w:rPr>
          <w:sz w:val="28"/>
          <w:szCs w:val="28"/>
        </w:rPr>
        <w:t>заклади вищої освіти</w:t>
      </w:r>
      <w:r w:rsidR="00561037">
        <w:rPr>
          <w:sz w:val="28"/>
          <w:szCs w:val="28"/>
        </w:rPr>
        <w:t xml:space="preserve"> (за згодою)</w:t>
      </w:r>
      <w:r w:rsidR="00561037" w:rsidRPr="005C0CC4">
        <w:rPr>
          <w:sz w:val="28"/>
          <w:szCs w:val="28"/>
        </w:rPr>
        <w:t xml:space="preserve">, </w:t>
      </w:r>
      <w:r w:rsidR="00561037">
        <w:rPr>
          <w:sz w:val="28"/>
          <w:szCs w:val="28"/>
        </w:rPr>
        <w:t>заклади післядипломної педагогічної освіти (за згодою)</w:t>
      </w:r>
      <w:r w:rsidRPr="005C0CC4">
        <w:rPr>
          <w:sz w:val="28"/>
          <w:szCs w:val="28"/>
        </w:rPr>
        <w:t xml:space="preserve">, МОН, МОЗ, </w:t>
      </w:r>
      <w:proofErr w:type="spellStart"/>
      <w:r w:rsidRPr="005C0CC4">
        <w:rPr>
          <w:sz w:val="28"/>
          <w:szCs w:val="28"/>
        </w:rPr>
        <w:t>Мінцифри</w:t>
      </w:r>
      <w:proofErr w:type="spellEnd"/>
      <w:r w:rsidRPr="005C0CC4">
        <w:rPr>
          <w:sz w:val="28"/>
          <w:szCs w:val="28"/>
        </w:rPr>
        <w:t xml:space="preserve">; строк виконання </w:t>
      </w:r>
      <w:r w:rsidR="00E01CB1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2025-2028 роки; </w:t>
      </w:r>
    </w:p>
    <w:p w14:paraId="5448CABE" w14:textId="66DEFB75" w:rsidR="00756C69" w:rsidRPr="005C0CC4" w:rsidRDefault="00756C69" w:rsidP="00756C69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з</w:t>
      </w:r>
      <w:r w:rsidR="001B4FC9" w:rsidRPr="005C0CC4">
        <w:rPr>
          <w:sz w:val="28"/>
          <w:szCs w:val="28"/>
        </w:rPr>
        <w:t>абезпечення підготовки та підвищення кваліфікації педагогічних працівників</w:t>
      </w:r>
      <w:r w:rsidRPr="005C0CC4">
        <w:rPr>
          <w:sz w:val="28"/>
          <w:szCs w:val="28"/>
        </w:rPr>
        <w:t xml:space="preserve"> </w:t>
      </w:r>
      <w:r w:rsidR="00077BCD" w:rsidRPr="00077BCD">
        <w:rPr>
          <w:sz w:val="28"/>
          <w:szCs w:val="28"/>
        </w:rPr>
        <w:t xml:space="preserve">суб’єктів освітньої діяльності </w:t>
      </w:r>
      <w:r w:rsidR="001B4FC9" w:rsidRPr="005C0CC4">
        <w:rPr>
          <w:sz w:val="28"/>
          <w:szCs w:val="28"/>
        </w:rPr>
        <w:t>щодо наявних ризиків для безпеки та здоров’я дітей у</w:t>
      </w:r>
      <w:r w:rsidRPr="005C0CC4">
        <w:rPr>
          <w:sz w:val="28"/>
          <w:szCs w:val="28"/>
        </w:rPr>
        <w:t xml:space="preserve"> ц</w:t>
      </w:r>
      <w:r w:rsidR="001B4FC9" w:rsidRPr="005C0CC4">
        <w:rPr>
          <w:sz w:val="28"/>
          <w:szCs w:val="28"/>
        </w:rPr>
        <w:t>ифровому</w:t>
      </w:r>
      <w:r w:rsidRPr="005C0CC4">
        <w:rPr>
          <w:sz w:val="28"/>
          <w:szCs w:val="28"/>
        </w:rPr>
        <w:t xml:space="preserve"> середовищі, формування навичок їхнього попередження, виявлення та подолання Виконавцями заходу визначено заклади післядипломної педагогічної освіти</w:t>
      </w:r>
      <w:r w:rsidR="008A5D9B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</w:t>
      </w:r>
      <w:r w:rsidR="00FA2BF6" w:rsidRPr="005C0CC4">
        <w:rPr>
          <w:sz w:val="28"/>
          <w:szCs w:val="28"/>
        </w:rPr>
        <w:t xml:space="preserve">МОН, </w:t>
      </w:r>
      <w:proofErr w:type="spellStart"/>
      <w:r w:rsidRPr="005C0CC4">
        <w:rPr>
          <w:sz w:val="28"/>
          <w:szCs w:val="28"/>
        </w:rPr>
        <w:t>Мінцифри</w:t>
      </w:r>
      <w:proofErr w:type="spellEnd"/>
      <w:r w:rsidRPr="005C0CC4">
        <w:rPr>
          <w:sz w:val="28"/>
          <w:szCs w:val="28"/>
        </w:rPr>
        <w:t>, НАПН</w:t>
      </w:r>
      <w:r w:rsidR="00561037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>; строк виконання – 2025-2028 роки;</w:t>
      </w:r>
    </w:p>
    <w:p w14:paraId="2814AB19" w14:textId="6B223095" w:rsidR="001B4FC9" w:rsidRPr="005C0CC4" w:rsidRDefault="00756C69" w:rsidP="00756C69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забезпечення </w:t>
      </w:r>
      <w:r w:rsidR="00924C7E" w:rsidRPr="005C0CC4">
        <w:rPr>
          <w:sz w:val="28"/>
          <w:szCs w:val="28"/>
        </w:rPr>
        <w:t xml:space="preserve">підвищення </w:t>
      </w:r>
      <w:r w:rsidR="001B4FC9" w:rsidRPr="005C0CC4">
        <w:rPr>
          <w:sz w:val="28"/>
          <w:szCs w:val="28"/>
        </w:rPr>
        <w:t xml:space="preserve">рівня </w:t>
      </w:r>
      <w:r w:rsidR="00924C7E" w:rsidRPr="005C0CC4">
        <w:rPr>
          <w:sz w:val="28"/>
          <w:szCs w:val="28"/>
        </w:rPr>
        <w:t xml:space="preserve">цифрової компетентності працівників </w:t>
      </w:r>
      <w:r w:rsidR="00077BCD" w:rsidRPr="00077BCD">
        <w:rPr>
          <w:sz w:val="28"/>
          <w:szCs w:val="28"/>
        </w:rPr>
        <w:t xml:space="preserve">суб’єктів освітньої діяльності </w:t>
      </w:r>
      <w:r w:rsidR="00924C7E" w:rsidRPr="005C0CC4">
        <w:rPr>
          <w:sz w:val="28"/>
          <w:szCs w:val="28"/>
        </w:rPr>
        <w:t>з питань цифрової дидактики та організації безпечного використання цифрових технологій дітьми дошкільного віку. Виконавцями заходу визначено заклади післядипломної педагогічної освіти</w:t>
      </w:r>
      <w:r w:rsidR="008A5D9B">
        <w:rPr>
          <w:sz w:val="28"/>
          <w:szCs w:val="28"/>
        </w:rPr>
        <w:t xml:space="preserve"> (за згодою)</w:t>
      </w:r>
      <w:r w:rsidR="00924C7E" w:rsidRPr="005C0CC4">
        <w:rPr>
          <w:sz w:val="28"/>
          <w:szCs w:val="28"/>
        </w:rPr>
        <w:t>, МОН, НАПН</w:t>
      </w:r>
      <w:r w:rsidR="00561037">
        <w:rPr>
          <w:sz w:val="28"/>
          <w:szCs w:val="28"/>
        </w:rPr>
        <w:t xml:space="preserve"> (за згодою)</w:t>
      </w:r>
      <w:r w:rsidR="00924C7E" w:rsidRPr="005C0CC4">
        <w:rPr>
          <w:sz w:val="28"/>
          <w:szCs w:val="28"/>
        </w:rPr>
        <w:t xml:space="preserve">; строк виконання </w:t>
      </w:r>
      <w:r w:rsidR="00E01CB1" w:rsidRPr="005C0CC4">
        <w:rPr>
          <w:sz w:val="28"/>
          <w:szCs w:val="28"/>
        </w:rPr>
        <w:t>–</w:t>
      </w:r>
      <w:r w:rsidR="00924C7E" w:rsidRPr="005C0CC4">
        <w:rPr>
          <w:sz w:val="28"/>
          <w:szCs w:val="28"/>
        </w:rPr>
        <w:t xml:space="preserve"> 2025-2028 роки;</w:t>
      </w:r>
    </w:p>
    <w:p w14:paraId="7D3F2C1B" w14:textId="0E3D8431" w:rsidR="00924C7E" w:rsidRPr="005C0CC4" w:rsidRDefault="00924C7E" w:rsidP="00924C7E">
      <w:pPr>
        <w:ind w:firstLine="708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запровадження моніторингу цифрової компетентності працівників </w:t>
      </w:r>
      <w:r w:rsidR="00077BCD" w:rsidRPr="00077BCD">
        <w:rPr>
          <w:sz w:val="28"/>
          <w:szCs w:val="28"/>
        </w:rPr>
        <w:t xml:space="preserve">суб’єктів освітньої діяльності </w:t>
      </w:r>
      <w:r w:rsidR="003B34D2" w:rsidRPr="005C0CC4">
        <w:rPr>
          <w:sz w:val="28"/>
          <w:szCs w:val="28"/>
        </w:rPr>
        <w:t xml:space="preserve">шляхом проходження тесту з цифрової грамотності </w:t>
      </w:r>
      <w:proofErr w:type="spellStart"/>
      <w:r w:rsidR="003B34D2" w:rsidRPr="005C0CC4">
        <w:rPr>
          <w:sz w:val="28"/>
          <w:szCs w:val="28"/>
        </w:rPr>
        <w:t>Цифрограм</w:t>
      </w:r>
      <w:proofErr w:type="spellEnd"/>
      <w:r w:rsidRPr="005C0CC4">
        <w:rPr>
          <w:sz w:val="28"/>
          <w:szCs w:val="28"/>
        </w:rPr>
        <w:t>. Виконавцями заходу визначено МОН</w:t>
      </w:r>
      <w:r w:rsidR="00FA2BF6" w:rsidRPr="005C0CC4">
        <w:rPr>
          <w:sz w:val="28"/>
          <w:szCs w:val="28"/>
        </w:rPr>
        <w:t xml:space="preserve">; </w:t>
      </w:r>
      <w:r w:rsidRPr="005C0CC4">
        <w:rPr>
          <w:sz w:val="28"/>
          <w:szCs w:val="28"/>
        </w:rPr>
        <w:t xml:space="preserve">строк виконання </w:t>
      </w:r>
      <w:r w:rsidR="00E01CB1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2025, 2028 роки. </w:t>
      </w:r>
    </w:p>
    <w:p w14:paraId="7B8BFC05" w14:textId="64A3AFA5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інтеграці</w:t>
      </w:r>
      <w:r w:rsidR="00E01CB1" w:rsidRPr="005C0CC4">
        <w:rPr>
          <w:sz w:val="28"/>
          <w:szCs w:val="28"/>
        </w:rPr>
        <w:t>ї</w:t>
      </w:r>
      <w:r w:rsidRPr="005C0CC4">
        <w:rPr>
          <w:sz w:val="28"/>
          <w:szCs w:val="28"/>
        </w:rPr>
        <w:t xml:space="preserve"> принципів і правил цифрової гігієни в освітній процес </w:t>
      </w:r>
      <w:r w:rsidR="00077BCD" w:rsidRPr="00077BCD">
        <w:rPr>
          <w:sz w:val="28"/>
          <w:szCs w:val="28"/>
        </w:rPr>
        <w:t>суб’єктів освітньої діяльності</w:t>
      </w:r>
      <w:r w:rsidR="002E536F">
        <w:rPr>
          <w:sz w:val="28"/>
          <w:szCs w:val="28"/>
        </w:rPr>
        <w:t>,</w:t>
      </w:r>
      <w:r w:rsidR="002E536F" w:rsidRPr="002E536F">
        <w:t xml:space="preserve"> </w:t>
      </w:r>
      <w:r w:rsidR="002E536F" w:rsidRPr="002E536F">
        <w:rPr>
          <w:sz w:val="28"/>
          <w:szCs w:val="28"/>
        </w:rPr>
        <w:t>формування у дітей компетентностей з використання цифрових технологій (якщо це передбачено освітньою та/або парціальною програмою суб’єкт</w:t>
      </w:r>
      <w:r w:rsidR="002E536F">
        <w:rPr>
          <w:sz w:val="28"/>
          <w:szCs w:val="28"/>
        </w:rPr>
        <w:t>а</w:t>
      </w:r>
      <w:r w:rsidR="002E536F" w:rsidRPr="002E536F">
        <w:rPr>
          <w:sz w:val="28"/>
          <w:szCs w:val="28"/>
        </w:rPr>
        <w:t xml:space="preserve"> освітньої діяльності і погоджено батьками)</w:t>
      </w:r>
      <w:r w:rsidR="002E536F">
        <w:rPr>
          <w:sz w:val="28"/>
          <w:szCs w:val="28"/>
        </w:rPr>
        <w:t>.</w:t>
      </w:r>
      <w:r w:rsidRPr="005C0CC4">
        <w:rPr>
          <w:sz w:val="28"/>
          <w:szCs w:val="28"/>
        </w:rPr>
        <w:t xml:space="preserve"> Виконавцями заходу визначено </w:t>
      </w:r>
      <w:r w:rsidR="00077BCD" w:rsidRPr="00077BCD">
        <w:rPr>
          <w:sz w:val="28"/>
          <w:szCs w:val="28"/>
        </w:rPr>
        <w:t>суб’єкт</w:t>
      </w:r>
      <w:r w:rsidR="00077BCD">
        <w:rPr>
          <w:sz w:val="28"/>
          <w:szCs w:val="28"/>
        </w:rPr>
        <w:t>и</w:t>
      </w:r>
      <w:r w:rsidR="00077BCD" w:rsidRPr="00077BCD">
        <w:rPr>
          <w:sz w:val="28"/>
          <w:szCs w:val="28"/>
        </w:rPr>
        <w:t xml:space="preserve"> освітньої діяльності</w:t>
      </w:r>
      <w:r w:rsidR="00561037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, МОН, </w:t>
      </w:r>
      <w:r w:rsidR="00E01CB1" w:rsidRPr="005C0CC4">
        <w:rPr>
          <w:sz w:val="28"/>
          <w:szCs w:val="28"/>
        </w:rPr>
        <w:t xml:space="preserve">ДУ </w:t>
      </w:r>
      <w:r w:rsidRPr="005C0CC4">
        <w:rPr>
          <w:sz w:val="28"/>
          <w:szCs w:val="28"/>
        </w:rPr>
        <w:t>УІРО</w:t>
      </w:r>
      <w:r w:rsidR="00561037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>, НАПН</w:t>
      </w:r>
      <w:r w:rsidR="00561037">
        <w:rPr>
          <w:sz w:val="28"/>
          <w:szCs w:val="28"/>
        </w:rPr>
        <w:t xml:space="preserve"> (за згодою)</w:t>
      </w:r>
      <w:r w:rsidRPr="005C0CC4">
        <w:rPr>
          <w:sz w:val="28"/>
          <w:szCs w:val="28"/>
        </w:rPr>
        <w:t xml:space="preserve">; строк виконання </w:t>
      </w:r>
      <w:r w:rsidR="00E01CB1" w:rsidRPr="005C0CC4">
        <w:rPr>
          <w:sz w:val="28"/>
          <w:szCs w:val="28"/>
        </w:rPr>
        <w:t>–</w:t>
      </w:r>
      <w:r w:rsidRPr="005C0CC4">
        <w:rPr>
          <w:sz w:val="28"/>
          <w:szCs w:val="28"/>
        </w:rPr>
        <w:t xml:space="preserve"> 2025-2028 роки. </w:t>
      </w:r>
    </w:p>
    <w:p w14:paraId="55EEBFAB" w14:textId="77777777" w:rsidR="00924C7E" w:rsidRPr="005C0CC4" w:rsidRDefault="00924C7E" w:rsidP="00924C7E">
      <w:pPr>
        <w:ind w:firstLine="709"/>
        <w:contextualSpacing/>
        <w:rPr>
          <w:sz w:val="28"/>
          <w:szCs w:val="28"/>
        </w:rPr>
      </w:pPr>
    </w:p>
    <w:p w14:paraId="5397BF68" w14:textId="77777777" w:rsidR="00210BB9" w:rsidRDefault="00210BB9" w:rsidP="00210BB9">
      <w:pPr>
        <w:ind w:firstLine="709"/>
        <w:contextualSpacing/>
        <w:jc w:val="center"/>
        <w:rPr>
          <w:color w:val="7F7F7F" w:themeColor="text1" w:themeTint="80"/>
          <w:sz w:val="28"/>
          <w:szCs w:val="28"/>
        </w:rPr>
      </w:pPr>
      <w:r w:rsidRPr="00973B10">
        <w:rPr>
          <w:color w:val="7F7F7F" w:themeColor="text1" w:themeTint="80"/>
          <w:sz w:val="28"/>
          <w:szCs w:val="28"/>
        </w:rPr>
        <w:lastRenderedPageBreak/>
        <w:t>5</w:t>
      </w:r>
    </w:p>
    <w:p w14:paraId="5BD83B5F" w14:textId="77777777" w:rsidR="00210BB9" w:rsidRDefault="00210BB9" w:rsidP="00210BB9">
      <w:pPr>
        <w:ind w:firstLine="709"/>
        <w:contextualSpacing/>
        <w:jc w:val="center"/>
        <w:rPr>
          <w:color w:val="7F7F7F" w:themeColor="text1" w:themeTint="80"/>
          <w:sz w:val="28"/>
          <w:szCs w:val="28"/>
        </w:rPr>
      </w:pPr>
    </w:p>
    <w:p w14:paraId="433BE4FA" w14:textId="77777777" w:rsidR="00924C7E" w:rsidRPr="005C0CC4" w:rsidRDefault="00924C7E" w:rsidP="00924C7E">
      <w:pPr>
        <w:contextualSpacing/>
        <w:jc w:val="center"/>
        <w:rPr>
          <w:b/>
          <w:sz w:val="28"/>
          <w:szCs w:val="28"/>
        </w:rPr>
      </w:pPr>
      <w:r w:rsidRPr="005C0CC4">
        <w:rPr>
          <w:b/>
          <w:sz w:val="28"/>
          <w:szCs w:val="28"/>
        </w:rPr>
        <w:t>Очікувані результати та показники їх досягнення</w:t>
      </w:r>
    </w:p>
    <w:p w14:paraId="7D743E28" w14:textId="77777777" w:rsidR="00E01CB1" w:rsidRPr="005C0CC4" w:rsidRDefault="00E01CB1" w:rsidP="00924C7E">
      <w:pPr>
        <w:contextualSpacing/>
        <w:jc w:val="center"/>
        <w:rPr>
          <w:b/>
          <w:sz w:val="20"/>
          <w:szCs w:val="20"/>
        </w:rPr>
      </w:pPr>
    </w:p>
    <w:p w14:paraId="6E9ACA15" w14:textId="116A84C1" w:rsidR="005A79AB" w:rsidRPr="00210BB9" w:rsidRDefault="00924C7E" w:rsidP="00210BB9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Реалізація цієї Концепції сприятиме:</w:t>
      </w:r>
    </w:p>
    <w:p w14:paraId="12EEEA54" w14:textId="76B93FDD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задоволенню потреб </w:t>
      </w:r>
      <w:r w:rsidR="00077BCD" w:rsidRPr="00077BCD">
        <w:rPr>
          <w:sz w:val="28"/>
          <w:szCs w:val="28"/>
        </w:rPr>
        <w:t>суб’єктів освітньої діяльності</w:t>
      </w:r>
      <w:r w:rsidRPr="005C0CC4">
        <w:rPr>
          <w:sz w:val="28"/>
          <w:szCs w:val="28"/>
        </w:rPr>
        <w:t xml:space="preserve"> у </w:t>
      </w:r>
      <w:r w:rsidR="002E536F">
        <w:rPr>
          <w:sz w:val="28"/>
          <w:szCs w:val="28"/>
        </w:rPr>
        <w:t xml:space="preserve">безпечних </w:t>
      </w:r>
      <w:r w:rsidR="002E536F" w:rsidRPr="002E536F">
        <w:rPr>
          <w:sz w:val="28"/>
          <w:szCs w:val="28"/>
        </w:rPr>
        <w:t>цифрових пристроях, технологіях, інших цифрових ресурсах</w:t>
      </w:r>
      <w:r w:rsidRPr="005C0CC4">
        <w:rPr>
          <w:sz w:val="28"/>
          <w:szCs w:val="28"/>
        </w:rPr>
        <w:t>;</w:t>
      </w:r>
    </w:p>
    <w:p w14:paraId="6E2A1A9D" w14:textId="43476F8E" w:rsidR="005A79AB" w:rsidRPr="005A79AB" w:rsidRDefault="00924C7E" w:rsidP="005A79AB">
      <w:pPr>
        <w:ind w:firstLine="709"/>
        <w:contextualSpacing/>
        <w:rPr>
          <w:sz w:val="28"/>
          <w:szCs w:val="28"/>
        </w:rPr>
      </w:pPr>
      <w:r w:rsidRPr="005C0CC4">
        <w:rPr>
          <w:sz w:val="28"/>
          <w:szCs w:val="28"/>
        </w:rPr>
        <w:t>зменшенню негативного впливу цифрових технологій на</w:t>
      </w:r>
      <w:r w:rsidR="002E536F" w:rsidRPr="002E536F">
        <w:rPr>
          <w:sz w:val="28"/>
          <w:szCs w:val="28"/>
        </w:rPr>
        <w:t xml:space="preserve"> фізичне та </w:t>
      </w:r>
    </w:p>
    <w:p w14:paraId="4096B934" w14:textId="439E091B" w:rsidR="00973B10" w:rsidRPr="005A79AB" w:rsidRDefault="002E536F" w:rsidP="005A79AB">
      <w:pPr>
        <w:contextualSpacing/>
        <w:jc w:val="both"/>
        <w:rPr>
          <w:sz w:val="28"/>
          <w:szCs w:val="28"/>
        </w:rPr>
      </w:pPr>
      <w:r w:rsidRPr="002E536F">
        <w:rPr>
          <w:sz w:val="28"/>
          <w:szCs w:val="28"/>
        </w:rPr>
        <w:t>психічне здоров’я, соціальне благополуччя</w:t>
      </w:r>
      <w:r w:rsidR="00924C7E" w:rsidRPr="005C0CC4">
        <w:rPr>
          <w:sz w:val="28"/>
          <w:szCs w:val="28"/>
        </w:rPr>
        <w:t xml:space="preserve"> та розвиток дітей дошкільного віку;</w:t>
      </w:r>
    </w:p>
    <w:p w14:paraId="0914B205" w14:textId="666AD255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покращенню обізнаності дорослих (батьків і педагогів </w:t>
      </w:r>
      <w:r w:rsidR="00077BCD" w:rsidRPr="00077BCD">
        <w:rPr>
          <w:sz w:val="28"/>
          <w:szCs w:val="28"/>
        </w:rPr>
        <w:t>суб’єктів освітньої діяльності</w:t>
      </w:r>
      <w:r w:rsidRPr="005C0CC4">
        <w:rPr>
          <w:sz w:val="28"/>
          <w:szCs w:val="28"/>
        </w:rPr>
        <w:t xml:space="preserve">) щодо стратегій забезпечення цифрової гігієни дітей дошкільного віку, контролю за використання нею цифрових технологій; </w:t>
      </w:r>
    </w:p>
    <w:p w14:paraId="79FE23E2" w14:textId="21CE8642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зменшенню негативних наслідків надмірного використання дітьми цифрових технологій і руйнівного впливу </w:t>
      </w:r>
      <w:r w:rsidR="00064C79">
        <w:rPr>
          <w:sz w:val="28"/>
          <w:szCs w:val="28"/>
        </w:rPr>
        <w:t xml:space="preserve">такого використання </w:t>
      </w:r>
      <w:r w:rsidRPr="005C0CC4">
        <w:rPr>
          <w:sz w:val="28"/>
          <w:szCs w:val="28"/>
        </w:rPr>
        <w:t>на їхній когнітивний, емоційно-вольовий, соціально-комунікативний розвиток, фізичне та психічне здоров’я;</w:t>
      </w:r>
    </w:p>
    <w:p w14:paraId="25B38C8A" w14:textId="27BB1092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наявності матеріалів з цифрової гігієни дітей в лінійних </w:t>
      </w:r>
      <w:r w:rsidR="00064C79">
        <w:rPr>
          <w:sz w:val="28"/>
          <w:szCs w:val="28"/>
        </w:rPr>
        <w:t xml:space="preserve">аудіовізуальних </w:t>
      </w:r>
      <w:r w:rsidR="00E01CB1" w:rsidRPr="005C0CC4">
        <w:rPr>
          <w:sz w:val="28"/>
          <w:szCs w:val="28"/>
        </w:rPr>
        <w:t>та</w:t>
      </w:r>
      <w:r w:rsidRPr="005C0CC4">
        <w:rPr>
          <w:sz w:val="28"/>
          <w:szCs w:val="28"/>
        </w:rPr>
        <w:t xml:space="preserve"> онлайн-медіа;</w:t>
      </w:r>
    </w:p>
    <w:p w14:paraId="74235249" w14:textId="70982718" w:rsidR="00924C7E" w:rsidRPr="005C0CC4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підвищенню рівня цифрової грамотності батьків і педагогів </w:t>
      </w:r>
      <w:r w:rsidR="00077BCD" w:rsidRPr="00077BCD">
        <w:rPr>
          <w:sz w:val="28"/>
          <w:szCs w:val="28"/>
        </w:rPr>
        <w:t>суб’єктів освітньої діяльності</w:t>
      </w:r>
      <w:r w:rsidRPr="005C0CC4">
        <w:rPr>
          <w:sz w:val="28"/>
          <w:szCs w:val="28"/>
        </w:rPr>
        <w:t xml:space="preserve">; </w:t>
      </w:r>
    </w:p>
    <w:p w14:paraId="0A18B7A7" w14:textId="7966DF25" w:rsidR="00924C7E" w:rsidRPr="005C0CC4" w:rsidRDefault="00924C7E" w:rsidP="00077BCD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підвищенню кваліфікації педагогічних працівників </w:t>
      </w:r>
      <w:r w:rsidR="00077BCD" w:rsidRPr="00077BCD">
        <w:rPr>
          <w:sz w:val="28"/>
          <w:szCs w:val="28"/>
        </w:rPr>
        <w:t>суб’єктів освітньої діяльності</w:t>
      </w:r>
      <w:r w:rsidRPr="005C0CC4">
        <w:rPr>
          <w:sz w:val="28"/>
          <w:szCs w:val="28"/>
        </w:rPr>
        <w:t>.</w:t>
      </w:r>
    </w:p>
    <w:p w14:paraId="56C3E37F" w14:textId="77777777" w:rsidR="00077BCD" w:rsidRPr="005C0CC4" w:rsidRDefault="00077BCD" w:rsidP="003B34D2">
      <w:pPr>
        <w:contextualSpacing/>
        <w:rPr>
          <w:b/>
          <w:sz w:val="28"/>
          <w:szCs w:val="28"/>
        </w:rPr>
      </w:pPr>
    </w:p>
    <w:p w14:paraId="1A3EEEBB" w14:textId="3D23682D" w:rsidR="00E01CB1" w:rsidRDefault="000F0AD5" w:rsidP="00924C7E">
      <w:pPr>
        <w:contextualSpacing/>
        <w:jc w:val="center"/>
        <w:rPr>
          <w:b/>
          <w:sz w:val="28"/>
          <w:szCs w:val="28"/>
        </w:rPr>
      </w:pPr>
      <w:r w:rsidRPr="000F0AD5">
        <w:rPr>
          <w:b/>
          <w:sz w:val="28"/>
          <w:szCs w:val="28"/>
        </w:rPr>
        <w:t>Обсяг фінансових, матеріально-технічних, людських та інших ресурсів</w:t>
      </w:r>
    </w:p>
    <w:p w14:paraId="18340DA5" w14:textId="77777777" w:rsidR="000F0AD5" w:rsidRPr="005C0CC4" w:rsidRDefault="000F0AD5" w:rsidP="00924C7E">
      <w:pPr>
        <w:contextualSpacing/>
        <w:jc w:val="center"/>
        <w:rPr>
          <w:b/>
          <w:sz w:val="20"/>
          <w:szCs w:val="20"/>
        </w:rPr>
      </w:pPr>
    </w:p>
    <w:p w14:paraId="1D5C6A8F" w14:textId="0E6BD56F" w:rsidR="003A5E4F" w:rsidRDefault="003A5E4F" w:rsidP="005A37B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>Фінансове забезпечення заходів, спрямованих на реалізацію Концепції, здійснюватиметься за рахунок і в межах видатків державного та місцевих бюджетів на відповідний рік, а також за рахунок інших джерел, не заборонених законодавством.</w:t>
      </w:r>
    </w:p>
    <w:p w14:paraId="229ADB8C" w14:textId="284FCA7F" w:rsidR="001F1208" w:rsidRDefault="001F1208" w:rsidP="005A37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F1208">
        <w:rPr>
          <w:sz w:val="28"/>
          <w:szCs w:val="28"/>
        </w:rPr>
        <w:t>еалізаці</w:t>
      </w:r>
      <w:r>
        <w:rPr>
          <w:sz w:val="28"/>
          <w:szCs w:val="28"/>
        </w:rPr>
        <w:t>я</w:t>
      </w:r>
      <w:r w:rsidRPr="001F1208">
        <w:rPr>
          <w:sz w:val="28"/>
          <w:szCs w:val="28"/>
        </w:rPr>
        <w:t xml:space="preserve"> Концепції</w:t>
      </w:r>
      <w:r w:rsidRPr="001F1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потребує </w:t>
      </w:r>
      <w:r w:rsidRPr="001F1208">
        <w:rPr>
          <w:sz w:val="28"/>
          <w:szCs w:val="28"/>
        </w:rPr>
        <w:t xml:space="preserve">залучення </w:t>
      </w:r>
      <w:r>
        <w:rPr>
          <w:sz w:val="28"/>
          <w:szCs w:val="28"/>
        </w:rPr>
        <w:t>додатков</w:t>
      </w:r>
      <w:r>
        <w:rPr>
          <w:sz w:val="28"/>
          <w:szCs w:val="28"/>
        </w:rPr>
        <w:t>их</w:t>
      </w:r>
      <w:r w:rsidRPr="001F1208">
        <w:rPr>
          <w:sz w:val="28"/>
          <w:szCs w:val="28"/>
        </w:rPr>
        <w:t xml:space="preserve"> </w:t>
      </w:r>
      <w:r w:rsidRPr="001F1208">
        <w:rPr>
          <w:sz w:val="28"/>
          <w:szCs w:val="28"/>
        </w:rPr>
        <w:t>матеріально-технічних, людських та інших ресурсів</w:t>
      </w:r>
      <w:r>
        <w:rPr>
          <w:sz w:val="28"/>
          <w:szCs w:val="28"/>
        </w:rPr>
        <w:t>.</w:t>
      </w:r>
    </w:p>
    <w:p w14:paraId="5073D3BF" w14:textId="77777777" w:rsidR="00077BCD" w:rsidRPr="005C0CC4" w:rsidRDefault="00077BCD" w:rsidP="005A37BE">
      <w:pPr>
        <w:ind w:firstLine="709"/>
        <w:contextualSpacing/>
        <w:jc w:val="both"/>
        <w:rPr>
          <w:sz w:val="28"/>
          <w:szCs w:val="28"/>
        </w:rPr>
      </w:pPr>
    </w:p>
    <w:p w14:paraId="36805CB9" w14:textId="77777777" w:rsidR="00924C7E" w:rsidRPr="005C0CC4" w:rsidRDefault="00924C7E" w:rsidP="00924C7E">
      <w:pPr>
        <w:contextualSpacing/>
        <w:jc w:val="center"/>
        <w:rPr>
          <w:b/>
          <w:sz w:val="28"/>
          <w:szCs w:val="28"/>
        </w:rPr>
      </w:pPr>
      <w:r w:rsidRPr="005C0CC4">
        <w:rPr>
          <w:b/>
          <w:sz w:val="28"/>
          <w:szCs w:val="28"/>
        </w:rPr>
        <w:t>Порядок проведення моніторингу, оцінки результатів реалізації</w:t>
      </w:r>
    </w:p>
    <w:p w14:paraId="7571E56B" w14:textId="7D875C41" w:rsidR="00924C7E" w:rsidRPr="005C0CC4" w:rsidRDefault="00924C7E" w:rsidP="00924C7E">
      <w:pPr>
        <w:contextualSpacing/>
        <w:jc w:val="center"/>
        <w:rPr>
          <w:b/>
          <w:sz w:val="28"/>
          <w:szCs w:val="28"/>
        </w:rPr>
      </w:pPr>
      <w:r w:rsidRPr="005C0CC4">
        <w:rPr>
          <w:b/>
          <w:sz w:val="28"/>
          <w:szCs w:val="28"/>
        </w:rPr>
        <w:t>Концепції та звітування</w:t>
      </w:r>
      <w:r w:rsidR="00E01CB1" w:rsidRPr="005C0CC4">
        <w:rPr>
          <w:b/>
          <w:sz w:val="28"/>
          <w:szCs w:val="28"/>
        </w:rPr>
        <w:t xml:space="preserve"> </w:t>
      </w:r>
    </w:p>
    <w:p w14:paraId="75FA99DF" w14:textId="77777777" w:rsidR="00E01CB1" w:rsidRPr="005C0CC4" w:rsidRDefault="00E01CB1" w:rsidP="00924C7E">
      <w:pPr>
        <w:contextualSpacing/>
        <w:jc w:val="center"/>
        <w:rPr>
          <w:b/>
          <w:sz w:val="20"/>
          <w:szCs w:val="20"/>
        </w:rPr>
      </w:pPr>
    </w:p>
    <w:p w14:paraId="2D7B2D43" w14:textId="2E1B9213" w:rsidR="00924C7E" w:rsidRDefault="00924C7E" w:rsidP="00924C7E">
      <w:pPr>
        <w:ind w:firstLine="709"/>
        <w:contextualSpacing/>
        <w:jc w:val="both"/>
        <w:rPr>
          <w:sz w:val="28"/>
          <w:szCs w:val="28"/>
        </w:rPr>
      </w:pPr>
      <w:r w:rsidRPr="005C0CC4">
        <w:rPr>
          <w:sz w:val="28"/>
          <w:szCs w:val="28"/>
        </w:rPr>
        <w:t xml:space="preserve">Забезпечення координації дій з реалізації Концепції, здійснення контролю за реалізацією Концепції, проведення моніторингу стану її виконання здійснює Міністерство освіти і науки. </w:t>
      </w:r>
    </w:p>
    <w:p w14:paraId="7D343C70" w14:textId="01826D19" w:rsidR="00B70E8A" w:rsidRDefault="00B70E8A" w:rsidP="00B70E8A">
      <w:pPr>
        <w:ind w:firstLine="709"/>
        <w:contextualSpacing/>
        <w:jc w:val="both"/>
        <w:rPr>
          <w:sz w:val="28"/>
          <w:szCs w:val="28"/>
        </w:rPr>
      </w:pPr>
      <w:r w:rsidRPr="00B70E8A">
        <w:rPr>
          <w:sz w:val="28"/>
          <w:szCs w:val="28"/>
        </w:rPr>
        <w:t xml:space="preserve">З метою забезпечення розроблення і впровадження ефективних політик у сфері цифрової гігієни дітей дошкільного віку будуть запроваджені індикатори та механізми оцінки впровадження </w:t>
      </w:r>
      <w:r>
        <w:rPr>
          <w:sz w:val="28"/>
          <w:szCs w:val="28"/>
        </w:rPr>
        <w:t>Концепції</w:t>
      </w:r>
      <w:r w:rsidRPr="00B70E8A">
        <w:rPr>
          <w:sz w:val="28"/>
          <w:szCs w:val="28"/>
        </w:rPr>
        <w:t xml:space="preserve"> (на основі проведених соціальних досліджень, </w:t>
      </w:r>
      <w:proofErr w:type="spellStart"/>
      <w:r w:rsidRPr="00B70E8A">
        <w:rPr>
          <w:sz w:val="28"/>
          <w:szCs w:val="28"/>
        </w:rPr>
        <w:t>моніторингів</w:t>
      </w:r>
      <w:proofErr w:type="spellEnd"/>
      <w:r w:rsidRPr="00B70E8A">
        <w:rPr>
          <w:sz w:val="28"/>
          <w:szCs w:val="28"/>
        </w:rPr>
        <w:t xml:space="preserve"> тощо).</w:t>
      </w:r>
    </w:p>
    <w:p w14:paraId="3CB6AC56" w14:textId="6F417DB4" w:rsidR="00B00E68" w:rsidRPr="00B00E68" w:rsidRDefault="00B00E68" w:rsidP="00B00E68">
      <w:pPr>
        <w:ind w:firstLine="709"/>
        <w:contextualSpacing/>
        <w:jc w:val="both"/>
        <w:rPr>
          <w:sz w:val="28"/>
          <w:szCs w:val="28"/>
        </w:rPr>
      </w:pPr>
      <w:r w:rsidRPr="00B00E68">
        <w:rPr>
          <w:sz w:val="28"/>
          <w:szCs w:val="28"/>
        </w:rPr>
        <w:t xml:space="preserve">Моніторинг та оцінку результатів реалізації цієї </w:t>
      </w:r>
      <w:r>
        <w:rPr>
          <w:sz w:val="28"/>
          <w:szCs w:val="28"/>
        </w:rPr>
        <w:t>Концепції</w:t>
      </w:r>
      <w:r w:rsidRPr="00B00E68">
        <w:rPr>
          <w:sz w:val="28"/>
          <w:szCs w:val="28"/>
        </w:rPr>
        <w:t xml:space="preserve"> здійснює </w:t>
      </w:r>
      <w:r>
        <w:rPr>
          <w:sz w:val="28"/>
          <w:szCs w:val="28"/>
        </w:rPr>
        <w:t>МОН</w:t>
      </w:r>
      <w:r w:rsidRPr="00B00E68">
        <w:rPr>
          <w:sz w:val="28"/>
          <w:szCs w:val="28"/>
        </w:rPr>
        <w:t xml:space="preserve"> за участю центральних органів виконавчої влади, установ та організацій, залучених до виконання завдань і здійснення реалізації цієї </w:t>
      </w:r>
      <w:r>
        <w:rPr>
          <w:sz w:val="28"/>
          <w:szCs w:val="28"/>
        </w:rPr>
        <w:t>Концепці</w:t>
      </w:r>
      <w:r w:rsidRPr="00B00E68">
        <w:rPr>
          <w:sz w:val="28"/>
          <w:szCs w:val="28"/>
        </w:rPr>
        <w:t>ї.</w:t>
      </w:r>
    </w:p>
    <w:p w14:paraId="0C614590" w14:textId="16A0BB85" w:rsidR="000C6E2E" w:rsidRPr="000C6E2E" w:rsidRDefault="000C6E2E" w:rsidP="000C6E2E">
      <w:pPr>
        <w:ind w:firstLine="709"/>
        <w:contextualSpacing/>
        <w:jc w:val="center"/>
        <w:rPr>
          <w:color w:val="AEAAAA" w:themeColor="background2" w:themeShade="BF"/>
          <w:sz w:val="28"/>
          <w:szCs w:val="28"/>
        </w:rPr>
      </w:pPr>
      <w:r w:rsidRPr="000C6E2E">
        <w:rPr>
          <w:color w:val="AEAAAA" w:themeColor="background2" w:themeShade="BF"/>
          <w:sz w:val="28"/>
          <w:szCs w:val="28"/>
        </w:rPr>
        <w:lastRenderedPageBreak/>
        <w:t>6</w:t>
      </w:r>
    </w:p>
    <w:p w14:paraId="138CAB9F" w14:textId="77777777" w:rsidR="000C6E2E" w:rsidRDefault="000C6E2E" w:rsidP="001F1208">
      <w:pPr>
        <w:ind w:firstLine="709"/>
        <w:contextualSpacing/>
        <w:jc w:val="both"/>
        <w:rPr>
          <w:sz w:val="28"/>
          <w:szCs w:val="28"/>
        </w:rPr>
      </w:pPr>
    </w:p>
    <w:p w14:paraId="6D741ADF" w14:textId="474064A1" w:rsidR="00B00E68" w:rsidRPr="00210BB9" w:rsidRDefault="00B00E68" w:rsidP="001F1208">
      <w:pPr>
        <w:ind w:firstLine="709"/>
        <w:contextualSpacing/>
        <w:jc w:val="both"/>
        <w:rPr>
          <w:sz w:val="28"/>
          <w:szCs w:val="28"/>
        </w:rPr>
      </w:pPr>
      <w:r w:rsidRPr="00B00E68">
        <w:rPr>
          <w:sz w:val="28"/>
          <w:szCs w:val="28"/>
        </w:rPr>
        <w:t>У рамках проведення моніторингу передбачається підготовка та подання</w:t>
      </w:r>
      <w:r w:rsidR="001F1208">
        <w:rPr>
          <w:sz w:val="28"/>
          <w:szCs w:val="28"/>
        </w:rPr>
        <w:t xml:space="preserve"> </w:t>
      </w:r>
      <w:r w:rsidRPr="00B00E68">
        <w:rPr>
          <w:sz w:val="28"/>
          <w:szCs w:val="28"/>
        </w:rPr>
        <w:t>щороку Кабінетові</w:t>
      </w:r>
      <w:r w:rsidR="00210BB9">
        <w:rPr>
          <w:sz w:val="28"/>
          <w:szCs w:val="28"/>
        </w:rPr>
        <w:t xml:space="preserve"> </w:t>
      </w:r>
      <w:r w:rsidRPr="00B00E68">
        <w:rPr>
          <w:sz w:val="28"/>
          <w:szCs w:val="28"/>
        </w:rPr>
        <w:t xml:space="preserve">Міністрів України звіту про стан реалізації </w:t>
      </w:r>
      <w:r>
        <w:rPr>
          <w:sz w:val="28"/>
          <w:szCs w:val="28"/>
        </w:rPr>
        <w:t>Концепці</w:t>
      </w:r>
      <w:r w:rsidRPr="00B00E68">
        <w:rPr>
          <w:sz w:val="28"/>
          <w:szCs w:val="28"/>
        </w:rPr>
        <w:t xml:space="preserve">ї та виконання плану заходів з її реалізації (далі - щорічний звіт), а також його розміщення на офіційному веб-сайті </w:t>
      </w:r>
      <w:r>
        <w:rPr>
          <w:sz w:val="28"/>
          <w:szCs w:val="28"/>
        </w:rPr>
        <w:t>МОН</w:t>
      </w:r>
      <w:r w:rsidRPr="00B00E68">
        <w:rPr>
          <w:sz w:val="28"/>
          <w:szCs w:val="28"/>
        </w:rPr>
        <w:t>.</w:t>
      </w:r>
    </w:p>
    <w:p w14:paraId="2BF86CE9" w14:textId="716B4754" w:rsidR="005A79AB" w:rsidRDefault="00B00E68" w:rsidP="00210BB9">
      <w:pPr>
        <w:ind w:firstLine="709"/>
        <w:contextualSpacing/>
        <w:jc w:val="both"/>
        <w:rPr>
          <w:sz w:val="28"/>
          <w:szCs w:val="28"/>
        </w:rPr>
      </w:pPr>
      <w:r w:rsidRPr="00B00E68">
        <w:rPr>
          <w:sz w:val="28"/>
          <w:szCs w:val="28"/>
        </w:rPr>
        <w:t xml:space="preserve">До підготовки щорічного звіту про стан виконання </w:t>
      </w:r>
      <w:r>
        <w:rPr>
          <w:sz w:val="28"/>
          <w:szCs w:val="28"/>
        </w:rPr>
        <w:t>Концепції</w:t>
      </w:r>
      <w:r w:rsidRPr="00B00E68">
        <w:rPr>
          <w:sz w:val="28"/>
          <w:szCs w:val="28"/>
        </w:rPr>
        <w:t xml:space="preserve"> можуть бути </w:t>
      </w:r>
    </w:p>
    <w:p w14:paraId="6A87CFB5" w14:textId="7B4F4AE0" w:rsidR="00B00E68" w:rsidRPr="00B70E8A" w:rsidRDefault="00B00E68" w:rsidP="005A79AB">
      <w:pPr>
        <w:contextualSpacing/>
        <w:jc w:val="both"/>
        <w:rPr>
          <w:sz w:val="28"/>
          <w:szCs w:val="28"/>
        </w:rPr>
      </w:pPr>
      <w:r w:rsidRPr="00B00E68">
        <w:rPr>
          <w:sz w:val="28"/>
          <w:szCs w:val="28"/>
        </w:rPr>
        <w:t>залучені експерти, наукові установи</w:t>
      </w:r>
      <w:r w:rsidR="00544FFF">
        <w:rPr>
          <w:sz w:val="28"/>
          <w:szCs w:val="28"/>
        </w:rPr>
        <w:t>, суб’єкти освітньої діяльності.</w:t>
      </w:r>
    </w:p>
    <w:p w14:paraId="33E31935" w14:textId="46E13B8E" w:rsidR="00B70E8A" w:rsidRPr="005C0CC4" w:rsidRDefault="00B70E8A" w:rsidP="00B70E8A">
      <w:pPr>
        <w:ind w:firstLine="709"/>
        <w:contextualSpacing/>
        <w:jc w:val="both"/>
        <w:rPr>
          <w:sz w:val="28"/>
          <w:szCs w:val="28"/>
        </w:rPr>
      </w:pPr>
      <w:r w:rsidRPr="00B70E8A">
        <w:rPr>
          <w:sz w:val="28"/>
          <w:szCs w:val="28"/>
        </w:rPr>
        <w:t xml:space="preserve">Результати моніторингу мають враховуватися під час формування заходів щодо реалізації визначених </w:t>
      </w:r>
      <w:r>
        <w:rPr>
          <w:sz w:val="28"/>
          <w:szCs w:val="28"/>
        </w:rPr>
        <w:t xml:space="preserve">Концепцією </w:t>
      </w:r>
      <w:r w:rsidRPr="00B70E8A">
        <w:rPr>
          <w:sz w:val="28"/>
          <w:szCs w:val="28"/>
        </w:rPr>
        <w:t>завдан</w:t>
      </w:r>
      <w:r>
        <w:rPr>
          <w:sz w:val="28"/>
          <w:szCs w:val="28"/>
        </w:rPr>
        <w:t>ь</w:t>
      </w:r>
      <w:r w:rsidRPr="00B70E8A">
        <w:rPr>
          <w:sz w:val="28"/>
          <w:szCs w:val="28"/>
        </w:rPr>
        <w:t>, спрямовани</w:t>
      </w:r>
      <w:r>
        <w:rPr>
          <w:sz w:val="28"/>
          <w:szCs w:val="28"/>
        </w:rPr>
        <w:t>х</w:t>
      </w:r>
      <w:r w:rsidRPr="00B70E8A">
        <w:rPr>
          <w:sz w:val="28"/>
          <w:szCs w:val="28"/>
        </w:rPr>
        <w:t xml:space="preserve"> на розв’язання визначених у Концепції проблем на плановий період.</w:t>
      </w:r>
    </w:p>
    <w:p w14:paraId="2001721A" w14:textId="77777777" w:rsidR="00924C7E" w:rsidRPr="005C0CC4" w:rsidRDefault="00924C7E">
      <w:pPr>
        <w:rPr>
          <w:b/>
          <w:bCs/>
        </w:rPr>
      </w:pPr>
    </w:p>
    <w:p w14:paraId="7F6D5108" w14:textId="742EC66D" w:rsidR="00324BC6" w:rsidRPr="005C0CC4" w:rsidRDefault="00324BC6">
      <w:pPr>
        <w:rPr>
          <w:sz w:val="28"/>
          <w:szCs w:val="28"/>
        </w:rPr>
      </w:pPr>
      <w:r w:rsidRPr="005C0CC4">
        <w:rPr>
          <w:sz w:val="28"/>
          <w:szCs w:val="28"/>
        </w:rPr>
        <w:t>____________________________________________________________________</w:t>
      </w:r>
    </w:p>
    <w:sectPr w:rsidR="00324BC6" w:rsidRPr="005C0CC4" w:rsidSect="005A7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568" w:right="567" w:bottom="1418" w:left="1701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F6E6C" w14:textId="77777777" w:rsidR="002D3B38" w:rsidRDefault="002D3B38" w:rsidP="00ED36CD">
      <w:r>
        <w:separator/>
      </w:r>
    </w:p>
  </w:endnote>
  <w:endnote w:type="continuationSeparator" w:id="0">
    <w:p w14:paraId="0BA8EC0B" w14:textId="77777777" w:rsidR="002D3B38" w:rsidRDefault="002D3B38" w:rsidP="00ED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1A7C" w14:textId="77777777" w:rsidR="003978CC" w:rsidRDefault="003978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E21B" w14:textId="77777777" w:rsidR="003978CC" w:rsidRDefault="003978C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2FEF7" w14:textId="77777777" w:rsidR="003978CC" w:rsidRDefault="003978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AD28" w14:textId="77777777" w:rsidR="002D3B38" w:rsidRDefault="002D3B38" w:rsidP="00ED36CD">
      <w:r>
        <w:separator/>
      </w:r>
    </w:p>
  </w:footnote>
  <w:footnote w:type="continuationSeparator" w:id="0">
    <w:p w14:paraId="5C3C6BAE" w14:textId="77777777" w:rsidR="002D3B38" w:rsidRDefault="002D3B38" w:rsidP="00ED3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CC1" w14:textId="77777777" w:rsidR="003978CC" w:rsidRDefault="003978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9578" w14:textId="77777777" w:rsidR="00ED36CD" w:rsidRDefault="00ED36C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7319" w14:textId="77777777" w:rsidR="003978CC" w:rsidRDefault="003978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A2E86"/>
    <w:multiLevelType w:val="multilevel"/>
    <w:tmpl w:val="2508F3C0"/>
    <w:lvl w:ilvl="0">
      <w:start w:val="1"/>
      <w:numFmt w:val="decimal"/>
      <w:lvlText w:val="%1."/>
      <w:lvlJc w:val="left"/>
      <w:pPr>
        <w:ind w:left="1541" w:hanging="37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486" w:hanging="379"/>
      </w:pPr>
    </w:lvl>
    <w:lvl w:ilvl="2">
      <w:numFmt w:val="bullet"/>
      <w:lvlText w:val="•"/>
      <w:lvlJc w:val="left"/>
      <w:pPr>
        <w:ind w:left="3433" w:hanging="378"/>
      </w:pPr>
    </w:lvl>
    <w:lvl w:ilvl="3">
      <w:numFmt w:val="bullet"/>
      <w:lvlText w:val="•"/>
      <w:lvlJc w:val="left"/>
      <w:pPr>
        <w:ind w:left="4379" w:hanging="379"/>
      </w:pPr>
    </w:lvl>
    <w:lvl w:ilvl="4">
      <w:numFmt w:val="bullet"/>
      <w:lvlText w:val="•"/>
      <w:lvlJc w:val="left"/>
      <w:pPr>
        <w:ind w:left="5326" w:hanging="379"/>
      </w:pPr>
    </w:lvl>
    <w:lvl w:ilvl="5">
      <w:numFmt w:val="bullet"/>
      <w:lvlText w:val="•"/>
      <w:lvlJc w:val="left"/>
      <w:pPr>
        <w:ind w:left="6273" w:hanging="379"/>
      </w:pPr>
    </w:lvl>
    <w:lvl w:ilvl="6">
      <w:numFmt w:val="bullet"/>
      <w:lvlText w:val="•"/>
      <w:lvlJc w:val="left"/>
      <w:pPr>
        <w:ind w:left="7219" w:hanging="379"/>
      </w:pPr>
    </w:lvl>
    <w:lvl w:ilvl="7">
      <w:numFmt w:val="bullet"/>
      <w:lvlText w:val="•"/>
      <w:lvlJc w:val="left"/>
      <w:pPr>
        <w:ind w:left="8166" w:hanging="379"/>
      </w:pPr>
    </w:lvl>
    <w:lvl w:ilvl="8">
      <w:numFmt w:val="bullet"/>
      <w:lvlText w:val="•"/>
      <w:lvlJc w:val="left"/>
      <w:pPr>
        <w:ind w:left="9112" w:hanging="379"/>
      </w:pPr>
    </w:lvl>
  </w:abstractNum>
  <w:num w:numId="1" w16cid:durableId="197548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F0"/>
    <w:rsid w:val="0004443D"/>
    <w:rsid w:val="00064C79"/>
    <w:rsid w:val="00077BCD"/>
    <w:rsid w:val="00093A30"/>
    <w:rsid w:val="000C6E2E"/>
    <w:rsid w:val="000F0AD5"/>
    <w:rsid w:val="001016A8"/>
    <w:rsid w:val="00150648"/>
    <w:rsid w:val="001A02BC"/>
    <w:rsid w:val="001B4FC9"/>
    <w:rsid w:val="001B5071"/>
    <w:rsid w:val="001F1208"/>
    <w:rsid w:val="001F7230"/>
    <w:rsid w:val="00200CBC"/>
    <w:rsid w:val="00210BB9"/>
    <w:rsid w:val="00212FDD"/>
    <w:rsid w:val="0022231C"/>
    <w:rsid w:val="00245319"/>
    <w:rsid w:val="002B48DB"/>
    <w:rsid w:val="002D3B38"/>
    <w:rsid w:val="002E536F"/>
    <w:rsid w:val="002F353A"/>
    <w:rsid w:val="00324BC6"/>
    <w:rsid w:val="00324E06"/>
    <w:rsid w:val="003978CC"/>
    <w:rsid w:val="003A5E4F"/>
    <w:rsid w:val="003B34D2"/>
    <w:rsid w:val="003E1CFE"/>
    <w:rsid w:val="003F4147"/>
    <w:rsid w:val="00403C7E"/>
    <w:rsid w:val="004A4311"/>
    <w:rsid w:val="00501083"/>
    <w:rsid w:val="00544FFF"/>
    <w:rsid w:val="00561037"/>
    <w:rsid w:val="00565134"/>
    <w:rsid w:val="005A37BE"/>
    <w:rsid w:val="005A79AB"/>
    <w:rsid w:val="005C0CC4"/>
    <w:rsid w:val="005C381F"/>
    <w:rsid w:val="00615F6A"/>
    <w:rsid w:val="00633243"/>
    <w:rsid w:val="00652902"/>
    <w:rsid w:val="0065731A"/>
    <w:rsid w:val="00687A96"/>
    <w:rsid w:val="00697990"/>
    <w:rsid w:val="006D3917"/>
    <w:rsid w:val="006F3BC8"/>
    <w:rsid w:val="0072640D"/>
    <w:rsid w:val="00727AA9"/>
    <w:rsid w:val="00746B5D"/>
    <w:rsid w:val="00756C69"/>
    <w:rsid w:val="0078131C"/>
    <w:rsid w:val="007A67E6"/>
    <w:rsid w:val="007D2671"/>
    <w:rsid w:val="008200B8"/>
    <w:rsid w:val="008645CE"/>
    <w:rsid w:val="00872B20"/>
    <w:rsid w:val="008A573A"/>
    <w:rsid w:val="008A5D9B"/>
    <w:rsid w:val="00924C7E"/>
    <w:rsid w:val="00973B10"/>
    <w:rsid w:val="009C1E2D"/>
    <w:rsid w:val="009D4FFC"/>
    <w:rsid w:val="009F34CE"/>
    <w:rsid w:val="00A32049"/>
    <w:rsid w:val="00B00E68"/>
    <w:rsid w:val="00B2558F"/>
    <w:rsid w:val="00B35B22"/>
    <w:rsid w:val="00B70E8A"/>
    <w:rsid w:val="00C451D8"/>
    <w:rsid w:val="00C4776D"/>
    <w:rsid w:val="00C57759"/>
    <w:rsid w:val="00CC29E3"/>
    <w:rsid w:val="00CC5F8F"/>
    <w:rsid w:val="00D54017"/>
    <w:rsid w:val="00DB2BEA"/>
    <w:rsid w:val="00DE40E6"/>
    <w:rsid w:val="00E01CB1"/>
    <w:rsid w:val="00E32D6F"/>
    <w:rsid w:val="00E40947"/>
    <w:rsid w:val="00E70E51"/>
    <w:rsid w:val="00E71733"/>
    <w:rsid w:val="00ED0D51"/>
    <w:rsid w:val="00ED36CD"/>
    <w:rsid w:val="00EF1CAD"/>
    <w:rsid w:val="00F407F0"/>
    <w:rsid w:val="00F6642D"/>
    <w:rsid w:val="00F66C67"/>
    <w:rsid w:val="00F6778C"/>
    <w:rsid w:val="00F907BD"/>
    <w:rsid w:val="00FA2BF6"/>
    <w:rsid w:val="00FD5BD6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E54BC"/>
  <w15:docId w15:val="{EB238412-57A2-4889-9FF6-32CB72C2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03"/>
  </w:style>
  <w:style w:type="paragraph" w:styleId="1">
    <w:name w:val="heading 1"/>
    <w:basedOn w:val="a"/>
    <w:link w:val="10"/>
    <w:uiPriority w:val="9"/>
    <w:qFormat/>
    <w:rsid w:val="00372403"/>
    <w:pPr>
      <w:ind w:left="1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0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7240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72403"/>
    <w:rPr>
      <w:rFonts w:ascii="Times New Roman" w:eastAsia="Times New Roman" w:hAnsi="Times New Roman" w:cs="Times New Roman"/>
      <w:b/>
      <w:bCs/>
      <w:kern w:val="0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72403"/>
    <w:rPr>
      <w:rFonts w:ascii="Times New Roman" w:eastAsia="Times New Roman" w:hAnsi="Times New Roman" w:cs="Times New Roman"/>
      <w:b/>
      <w:kern w:val="0"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72403"/>
    <w:rPr>
      <w:rFonts w:ascii="Times New Roman" w:eastAsia="Times New Roman" w:hAnsi="Times New Roman" w:cs="Times New Roman"/>
      <w:b/>
      <w:kern w:val="0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372403"/>
    <w:rPr>
      <w:rFonts w:ascii="Times New Roman" w:eastAsia="Times New Roman" w:hAnsi="Times New Roman" w:cs="Times New Roman"/>
      <w:b/>
      <w:kern w:val="0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372403"/>
    <w:rPr>
      <w:rFonts w:ascii="Times New Roman" w:eastAsia="Times New Roman" w:hAnsi="Times New Roman" w:cs="Times New Roman"/>
      <w:b/>
      <w:kern w:val="0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372403"/>
    <w:rPr>
      <w:rFonts w:ascii="Times New Roman" w:eastAsia="Times New Roman" w:hAnsi="Times New Roman" w:cs="Times New Roman"/>
      <w:b/>
      <w:kern w:val="0"/>
      <w:sz w:val="20"/>
      <w:szCs w:val="20"/>
      <w:lang w:val="uk-UA" w:eastAsia="uk-UA"/>
    </w:rPr>
  </w:style>
  <w:style w:type="table" w:customStyle="1" w:styleId="TableNormal0">
    <w:name w:val="Table Normal"/>
    <w:uiPriority w:val="2"/>
    <w:rsid w:val="0037240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uiPriority w:val="10"/>
    <w:rsid w:val="00372403"/>
    <w:rPr>
      <w:rFonts w:ascii="Times New Roman" w:eastAsia="Times New Roman" w:hAnsi="Times New Roman" w:cs="Times New Roman"/>
      <w:b/>
      <w:kern w:val="0"/>
      <w:sz w:val="72"/>
      <w:szCs w:val="72"/>
      <w:lang w:val="uk-UA" w:eastAsia="uk-UA"/>
    </w:rPr>
  </w:style>
  <w:style w:type="paragraph" w:styleId="a5">
    <w:name w:val="Body Text"/>
    <w:basedOn w:val="a"/>
    <w:link w:val="a6"/>
    <w:uiPriority w:val="1"/>
    <w:qFormat/>
    <w:rsid w:val="00372403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72403"/>
    <w:rPr>
      <w:rFonts w:ascii="Times New Roman" w:eastAsia="Times New Roman" w:hAnsi="Times New Roman" w:cs="Times New Roman"/>
      <w:kern w:val="0"/>
      <w:sz w:val="28"/>
      <w:szCs w:val="28"/>
      <w:lang w:val="uk-UA" w:eastAsia="uk-UA"/>
    </w:rPr>
  </w:style>
  <w:style w:type="paragraph" w:styleId="a7">
    <w:name w:val="List Paragraph"/>
    <w:basedOn w:val="a"/>
    <w:uiPriority w:val="1"/>
    <w:qFormat/>
    <w:rsid w:val="00372403"/>
    <w:pPr>
      <w:ind w:left="2039" w:hanging="428"/>
    </w:pPr>
  </w:style>
  <w:style w:type="paragraph" w:customStyle="1" w:styleId="TableParagraph">
    <w:name w:val="Table Paragraph"/>
    <w:basedOn w:val="a"/>
    <w:uiPriority w:val="1"/>
    <w:qFormat/>
    <w:rsid w:val="00372403"/>
    <w:pPr>
      <w:spacing w:before="100"/>
      <w:ind w:left="90"/>
    </w:p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uiPriority w:val="11"/>
    <w:rsid w:val="00372403"/>
    <w:rPr>
      <w:rFonts w:ascii="Georgia" w:eastAsia="Georgia" w:hAnsi="Georgia" w:cs="Georgia"/>
      <w:i/>
      <w:color w:val="666666"/>
      <w:kern w:val="0"/>
      <w:sz w:val="48"/>
      <w:szCs w:val="48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ED36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36CD"/>
  </w:style>
  <w:style w:type="paragraph" w:styleId="ac">
    <w:name w:val="footer"/>
    <w:basedOn w:val="a"/>
    <w:link w:val="ad"/>
    <w:uiPriority w:val="99"/>
    <w:unhideWhenUsed/>
    <w:rsid w:val="00ED36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3h0ESUfiUmu6O/MYSPUmozIEsQ==">CgMxLjA4AHIhMTFhN2VxR2t2TE84WGpPbEFnWlNqcENKVlAzbnNJaXpf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1607</Words>
  <Characters>11932</Characters>
  <Application>Microsoft Office Word</Application>
  <DocSecurity>0</DocSecurity>
  <Lines>298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Косик</cp:lastModifiedBy>
  <cp:revision>20</cp:revision>
  <dcterms:created xsi:type="dcterms:W3CDTF">2025-03-03T13:16:00Z</dcterms:created>
  <dcterms:modified xsi:type="dcterms:W3CDTF">2025-03-26T16:22:00Z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790a565a76638a3871d170f5088236bd04526a95f84d164936eb1c5c4e514d4e</vt:lpwstr>
  </property>
</Properties>
</file>