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A72" w:rsidRDefault="001737BC" w:rsidP="00780904">
      <w:pPr>
        <w:pStyle w:val="2"/>
      </w:pPr>
      <w:r>
        <w:fldChar w:fldCharType="begin"/>
      </w:r>
      <w:r>
        <w:instrText xml:space="preserve"> HYPERLINK "https://www.pedrada.com.ua/article/2157-patologchna-privyazanst-dtey-pslya-stresogennih-pody" </w:instrText>
      </w:r>
      <w:r>
        <w:fldChar w:fldCharType="separate"/>
      </w:r>
      <w:r w:rsidR="00595A72" w:rsidRPr="001737BC">
        <w:rPr>
          <w:rStyle w:val="a7"/>
        </w:rPr>
        <w:t>Види патологічної прив’язаності, що можуть виникати у дошкільників, які зазнали впливу стресогенних подій</w:t>
      </w:r>
      <w:r>
        <w:fldChar w:fldCharType="end"/>
      </w:r>
    </w:p>
    <w:p w:rsidR="001737BC" w:rsidRPr="001737BC" w:rsidRDefault="001737BC" w:rsidP="001737BC"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2"/>
        <w:gridCol w:w="7053"/>
      </w:tblGrid>
      <w:tr w:rsidR="00CF5EA1" w:rsidRPr="003C756E" w:rsidTr="00CF5EA1">
        <w:tc>
          <w:tcPr>
            <w:tcW w:w="2802" w:type="dxa"/>
          </w:tcPr>
          <w:p w:rsidR="00CF5EA1" w:rsidRPr="003C756E" w:rsidRDefault="00CF5EA1" w:rsidP="00E634E8">
            <w:pPr>
              <w:pStyle w:val="a5"/>
              <w:ind w:firstLine="0"/>
              <w:rPr>
                <w:rFonts w:ascii="Minion Pro" w:hAnsi="Minion Pro" w:cs="Minion Pro"/>
                <w:spacing w:val="1"/>
              </w:rPr>
            </w:pPr>
            <w:r w:rsidRPr="003C756E">
              <w:rPr>
                <w:rStyle w:val="BoldItalic"/>
                <w:rFonts w:ascii="Minion Pro" w:hAnsi="Minion Pro" w:cs="Minion Pro"/>
                <w:i w:val="0"/>
                <w:spacing w:val="-2"/>
                <w:lang w:val="uk-UA"/>
              </w:rPr>
              <w:t>Негативна або невротична прив’язаність</w:t>
            </w:r>
            <w:r w:rsidRPr="003C756E">
              <w:rPr>
                <w:rFonts w:ascii="Minion Pro" w:hAnsi="Minion Pro" w:cs="Minion Pro"/>
                <w:spacing w:val="-2"/>
              </w:rPr>
              <w:t> </w:t>
            </w:r>
          </w:p>
        </w:tc>
        <w:tc>
          <w:tcPr>
            <w:tcW w:w="7053" w:type="dxa"/>
          </w:tcPr>
          <w:p w:rsidR="00CF5EA1" w:rsidRPr="003C756E" w:rsidRDefault="00CF5EA1" w:rsidP="00CF5EA1">
            <w:pPr>
              <w:pStyle w:val="a5"/>
              <w:ind w:firstLine="0"/>
              <w:rPr>
                <w:rFonts w:ascii="Minion Pro" w:hAnsi="Minion Pro" w:cs="Minion Pro"/>
                <w:spacing w:val="1"/>
              </w:rPr>
            </w:pPr>
            <w:r w:rsidRPr="003C756E">
              <w:rPr>
                <w:rFonts w:ascii="Minion Pro" w:hAnsi="Minion Pro" w:cs="Minion Pro"/>
                <w:spacing w:val="1"/>
              </w:rPr>
              <w:t xml:space="preserve">Дитина </w:t>
            </w:r>
            <w:r w:rsidRPr="003C756E">
              <w:rPr>
                <w:rFonts w:ascii="Minion Pro" w:hAnsi="Minion Pro" w:cs="Minion Pro"/>
                <w:b/>
                <w:spacing w:val="1"/>
              </w:rPr>
              <w:t>постійно потребує уваги дорослих</w:t>
            </w:r>
            <w:r w:rsidRPr="003C756E">
              <w:rPr>
                <w:rFonts w:ascii="Minion Pro" w:hAnsi="Minion Pro" w:cs="Minion Pro"/>
                <w:spacing w:val="1"/>
              </w:rPr>
              <w:t xml:space="preserve">. Вона не може почекати, доки рідні або той, хто поряд, приміром вихователь, завершить справи чи знайде зручне місце, аби поспілкуватися. </w:t>
            </w:r>
          </w:p>
          <w:p w:rsidR="00CF5EA1" w:rsidRPr="003C756E" w:rsidRDefault="00CF5EA1" w:rsidP="00CF5EA1">
            <w:pPr>
              <w:pStyle w:val="a5"/>
              <w:ind w:firstLine="0"/>
              <w:rPr>
                <w:rFonts w:ascii="Minion Pro" w:hAnsi="Minion Pro" w:cs="Minion Pro"/>
                <w:spacing w:val="1"/>
              </w:rPr>
            </w:pPr>
            <w:r w:rsidRPr="003C756E">
              <w:rPr>
                <w:rFonts w:ascii="Minion Pro" w:hAnsi="Minion Pro" w:cs="Minion Pro"/>
                <w:spacing w:val="1"/>
              </w:rPr>
              <w:t xml:space="preserve">Дитина тут і зараз </w:t>
            </w:r>
            <w:r w:rsidRPr="003C756E">
              <w:rPr>
                <w:rFonts w:ascii="Minion Pro" w:hAnsi="Minion Pro" w:cs="Minion Pro"/>
                <w:b/>
                <w:spacing w:val="1"/>
              </w:rPr>
              <w:t xml:space="preserve">потребує від дорослих </w:t>
            </w:r>
            <w:proofErr w:type="spellStart"/>
            <w:r w:rsidRPr="003C756E">
              <w:rPr>
                <w:rFonts w:ascii="Minion Pro" w:hAnsi="Minion Pro" w:cs="Minion Pro"/>
                <w:b/>
                <w:spacing w:val="1"/>
              </w:rPr>
              <w:t>емоційно</w:t>
            </w:r>
            <w:proofErr w:type="spellEnd"/>
            <w:r w:rsidRPr="003C756E">
              <w:rPr>
                <w:rFonts w:ascii="Minion Pro" w:hAnsi="Minion Pro" w:cs="Minion Pro"/>
                <w:b/>
                <w:spacing w:val="1"/>
              </w:rPr>
              <w:t>-забарвленого спілкування</w:t>
            </w:r>
            <w:r w:rsidRPr="003C756E">
              <w:rPr>
                <w:rFonts w:ascii="Minion Pro" w:hAnsi="Minion Pro" w:cs="Minion Pro"/>
                <w:spacing w:val="1"/>
              </w:rPr>
              <w:t xml:space="preserve"> спрямованого на неї, навіть негативного. Вона «провокує» покарання, дратує дорослих, бо не може витримати внутрішньої тривоги. Якщо ігнорувати такий стан, у дитини може виникнути істерика</w:t>
            </w:r>
          </w:p>
        </w:tc>
      </w:tr>
      <w:tr w:rsidR="00CF5EA1" w:rsidRPr="003C756E" w:rsidTr="00CF5EA1">
        <w:tc>
          <w:tcPr>
            <w:tcW w:w="2802" w:type="dxa"/>
          </w:tcPr>
          <w:p w:rsidR="00CF5EA1" w:rsidRPr="003C756E" w:rsidRDefault="00CF5EA1" w:rsidP="00E634E8">
            <w:pPr>
              <w:pStyle w:val="a5"/>
              <w:ind w:firstLine="0"/>
              <w:rPr>
                <w:rFonts w:ascii="Minion Pro" w:hAnsi="Minion Pro" w:cs="Minion Pro"/>
              </w:rPr>
            </w:pPr>
            <w:r w:rsidRPr="003C756E">
              <w:rPr>
                <w:rStyle w:val="BoldItalic"/>
                <w:rFonts w:ascii="Minion Pro" w:hAnsi="Minion Pro" w:cs="Minion Pro"/>
                <w:i w:val="0"/>
                <w:lang w:val="uk-UA"/>
              </w:rPr>
              <w:t>Амбівалентна прив’язаність</w:t>
            </w:r>
            <w:r w:rsidRPr="003C756E">
              <w:rPr>
                <w:rFonts w:ascii="Minion Pro" w:hAnsi="Minion Pro" w:cs="Minion Pro"/>
              </w:rPr>
              <w:t> </w:t>
            </w:r>
          </w:p>
        </w:tc>
        <w:tc>
          <w:tcPr>
            <w:tcW w:w="7053" w:type="dxa"/>
          </w:tcPr>
          <w:p w:rsidR="00CF5EA1" w:rsidRPr="003C756E" w:rsidRDefault="00CF5EA1" w:rsidP="00E634E8">
            <w:pPr>
              <w:pStyle w:val="a5"/>
              <w:ind w:firstLine="0"/>
              <w:rPr>
                <w:rFonts w:ascii="Minion Pro" w:hAnsi="Minion Pro" w:cs="Minion Pro"/>
              </w:rPr>
            </w:pPr>
            <w:r w:rsidRPr="003C756E">
              <w:rPr>
                <w:rFonts w:ascii="Minion Pro" w:hAnsi="Minion Pro" w:cs="Minion Pro"/>
              </w:rPr>
              <w:t xml:space="preserve">Дитина постійно демонструє </w:t>
            </w:r>
            <w:r w:rsidRPr="003C756E">
              <w:rPr>
                <w:rFonts w:ascii="Minion Pro" w:hAnsi="Minion Pro" w:cs="Minion Pro"/>
                <w:b/>
              </w:rPr>
              <w:t>подвійне ставлення до близького дорослого</w:t>
            </w:r>
            <w:r w:rsidRPr="003C756E">
              <w:rPr>
                <w:rFonts w:ascii="Minion Pro" w:hAnsi="Minion Pro" w:cs="Minion Pro"/>
              </w:rPr>
              <w:t xml:space="preserve">. Часом вона лагідна і робить все для того, аби показати свою любов, слухняність та довіру. А часом вона починає вибивати рідних із рівноваги — грубіянить, навмисно дратує, щоб спровокувати прояв сильних та щирих емоцій. </w:t>
            </w:r>
          </w:p>
          <w:p w:rsidR="00CF5EA1" w:rsidRPr="003C756E" w:rsidRDefault="00CF5EA1" w:rsidP="00E634E8">
            <w:pPr>
              <w:pStyle w:val="a5"/>
              <w:ind w:firstLine="0"/>
              <w:rPr>
                <w:rFonts w:ascii="Minion Pro" w:hAnsi="Minion Pro" w:cs="Minion Pro"/>
              </w:rPr>
            </w:pPr>
            <w:r w:rsidRPr="003C756E">
              <w:rPr>
                <w:rFonts w:ascii="Minion Pro" w:hAnsi="Minion Pro" w:cs="Minion Pro"/>
              </w:rPr>
              <w:t xml:space="preserve">Дитина ніби </w:t>
            </w:r>
            <w:r w:rsidRPr="003C756E">
              <w:rPr>
                <w:rFonts w:ascii="Minion Pro" w:hAnsi="Minion Pro" w:cs="Minion Pro"/>
                <w:b/>
              </w:rPr>
              <w:t>перевіряє дійсний стан речей</w:t>
            </w:r>
            <w:r w:rsidRPr="003C756E">
              <w:rPr>
                <w:rFonts w:ascii="Minion Pro" w:hAnsi="Minion Pro" w:cs="Minion Pro"/>
              </w:rPr>
              <w:t xml:space="preserve"> — «Мене люблять насправді чи тільки вдають?». Дитина вважає, що так вона зможе з’ясувати справжні почуття близьких — «Гарного і чемного просто «любити». А як тобі таке?.. Чи будеш ти терплячим, співчутливим, вірним, коли я поводжусь інакше? Чи залишися ти зі мною в такому разі?» </w:t>
            </w:r>
          </w:p>
          <w:p w:rsidR="00CF5EA1" w:rsidRPr="003C756E" w:rsidRDefault="00CF5EA1" w:rsidP="00E634E8">
            <w:pPr>
              <w:pStyle w:val="a5"/>
              <w:ind w:firstLine="0"/>
              <w:rPr>
                <w:rFonts w:ascii="Minion Pro" w:hAnsi="Minion Pro" w:cs="Minion Pro"/>
              </w:rPr>
            </w:pPr>
            <w:r w:rsidRPr="003C756E">
              <w:rPr>
                <w:rFonts w:ascii="Minion Pro" w:hAnsi="Minion Pro" w:cs="Minion Pro"/>
              </w:rPr>
              <w:t>Компромісів у таких стосунках немає, а сама дитина не може пояснити свою поведінку і страждає від цього</w:t>
            </w:r>
          </w:p>
        </w:tc>
      </w:tr>
      <w:tr w:rsidR="00CF5EA1" w:rsidRPr="003C756E" w:rsidTr="00CF5EA1">
        <w:tc>
          <w:tcPr>
            <w:tcW w:w="2802" w:type="dxa"/>
          </w:tcPr>
          <w:p w:rsidR="00CF5EA1" w:rsidRPr="003C756E" w:rsidRDefault="00CF5EA1" w:rsidP="00E634E8">
            <w:pPr>
              <w:pStyle w:val="a5"/>
              <w:ind w:firstLine="0"/>
              <w:rPr>
                <w:rFonts w:ascii="Minion Pro" w:hAnsi="Minion Pro" w:cs="Minion Pro"/>
              </w:rPr>
            </w:pPr>
            <w:proofErr w:type="spellStart"/>
            <w:r w:rsidRPr="003C756E">
              <w:rPr>
                <w:rStyle w:val="BoldItalic"/>
                <w:rFonts w:ascii="Minion Pro" w:hAnsi="Minion Pro" w:cs="Minion Pro"/>
                <w:i w:val="0"/>
                <w:lang w:val="uk-UA"/>
              </w:rPr>
              <w:t>Уникаюча</w:t>
            </w:r>
            <w:proofErr w:type="spellEnd"/>
            <w:r w:rsidRPr="003C756E">
              <w:rPr>
                <w:rStyle w:val="BoldItalic"/>
                <w:rFonts w:ascii="Minion Pro" w:hAnsi="Minion Pro" w:cs="Minion Pro"/>
                <w:i w:val="0"/>
                <w:lang w:val="uk-UA"/>
              </w:rPr>
              <w:t xml:space="preserve"> прив’язаність</w:t>
            </w:r>
            <w:r w:rsidRPr="003C756E">
              <w:rPr>
                <w:rFonts w:ascii="Minion Pro" w:hAnsi="Minion Pro" w:cs="Minion Pro"/>
              </w:rPr>
              <w:t> </w:t>
            </w:r>
          </w:p>
        </w:tc>
        <w:tc>
          <w:tcPr>
            <w:tcW w:w="7053" w:type="dxa"/>
          </w:tcPr>
          <w:p w:rsidR="00CF5EA1" w:rsidRPr="003C756E" w:rsidRDefault="00CF5EA1" w:rsidP="00E634E8">
            <w:pPr>
              <w:pStyle w:val="a5"/>
              <w:ind w:firstLine="0"/>
              <w:rPr>
                <w:rFonts w:ascii="Minion Pro" w:hAnsi="Minion Pro" w:cs="Minion Pro"/>
              </w:rPr>
            </w:pPr>
            <w:r w:rsidRPr="003C756E">
              <w:rPr>
                <w:rFonts w:ascii="Minion Pro" w:hAnsi="Minion Pro" w:cs="Minion Pro"/>
              </w:rPr>
              <w:t xml:space="preserve">Дитина </w:t>
            </w:r>
            <w:r w:rsidRPr="003C756E">
              <w:rPr>
                <w:rFonts w:ascii="Minion Pro" w:hAnsi="Minion Pro" w:cs="Minion Pro"/>
                <w:b/>
              </w:rPr>
              <w:t>замкнена</w:t>
            </w:r>
            <w:r w:rsidRPr="003C756E">
              <w:rPr>
                <w:rFonts w:ascii="Minion Pro" w:hAnsi="Minion Pro" w:cs="Minion Pro"/>
              </w:rPr>
              <w:t xml:space="preserve">, понура, не допускає довірливих стосунків із дорослими й однолітками. </w:t>
            </w:r>
          </w:p>
          <w:p w:rsidR="00CF5EA1" w:rsidRPr="003C756E" w:rsidRDefault="00CF5EA1" w:rsidP="00E634E8">
            <w:pPr>
              <w:pStyle w:val="a5"/>
              <w:ind w:firstLine="0"/>
              <w:rPr>
                <w:rFonts w:ascii="Minion Pro" w:hAnsi="Minion Pro" w:cs="Minion Pro"/>
              </w:rPr>
            </w:pPr>
            <w:r w:rsidRPr="003C756E">
              <w:rPr>
                <w:rFonts w:ascii="Minion Pro" w:hAnsi="Minion Pro" w:cs="Minion Pro"/>
              </w:rPr>
              <w:t xml:space="preserve">Вона </w:t>
            </w:r>
            <w:r w:rsidRPr="003C756E">
              <w:rPr>
                <w:rFonts w:ascii="Minion Pro" w:hAnsi="Minion Pro" w:cs="Minion Pro"/>
                <w:b/>
              </w:rPr>
              <w:t>боїться ще раз пережити біль утрати</w:t>
            </w:r>
            <w:r w:rsidRPr="003C756E">
              <w:rPr>
                <w:rFonts w:ascii="Minion Pro" w:hAnsi="Minion Pro" w:cs="Minion Pro"/>
              </w:rPr>
              <w:t xml:space="preserve"> або нову зраду, обман — «Обіцяли, що все буде гарно і не виконали…». </w:t>
            </w:r>
          </w:p>
          <w:p w:rsidR="00CF5EA1" w:rsidRPr="003C756E" w:rsidRDefault="00CF5EA1" w:rsidP="00E634E8">
            <w:pPr>
              <w:pStyle w:val="a5"/>
              <w:ind w:firstLine="0"/>
              <w:rPr>
                <w:rFonts w:ascii="Minion Pro" w:hAnsi="Minion Pro" w:cs="Minion Pro"/>
              </w:rPr>
            </w:pPr>
            <w:r w:rsidRPr="003C756E">
              <w:rPr>
                <w:rFonts w:ascii="Minion Pro" w:hAnsi="Minion Pro" w:cs="Minion Pro"/>
              </w:rPr>
              <w:t>Основний мотив такої поведінки — «Нікому не можна довіряти, ліпше бути самому»</w:t>
            </w:r>
          </w:p>
        </w:tc>
      </w:tr>
      <w:tr w:rsidR="00CF5EA1" w:rsidRPr="003C756E" w:rsidTr="00CF5EA1">
        <w:tc>
          <w:tcPr>
            <w:tcW w:w="2802" w:type="dxa"/>
          </w:tcPr>
          <w:p w:rsidR="00CF5EA1" w:rsidRPr="003C756E" w:rsidRDefault="00CF5EA1" w:rsidP="00E634E8">
            <w:pPr>
              <w:pStyle w:val="a5"/>
              <w:ind w:firstLine="0"/>
              <w:rPr>
                <w:rFonts w:ascii="Minion Pro" w:hAnsi="Minion Pro" w:cs="Minion Pro"/>
                <w:spacing w:val="4"/>
              </w:rPr>
            </w:pPr>
            <w:r w:rsidRPr="003C756E">
              <w:rPr>
                <w:rStyle w:val="BoldItalic"/>
                <w:rFonts w:ascii="Minion Pro" w:hAnsi="Minion Pro" w:cs="Minion Pro"/>
                <w:i w:val="0"/>
                <w:spacing w:val="4"/>
                <w:lang w:val="uk-UA"/>
              </w:rPr>
              <w:t>Дезорганізована прив’язаність</w:t>
            </w:r>
            <w:r w:rsidRPr="003C756E">
              <w:rPr>
                <w:rFonts w:ascii="Minion Pro" w:hAnsi="Minion Pro" w:cs="Minion Pro"/>
                <w:spacing w:val="4"/>
              </w:rPr>
              <w:t> </w:t>
            </w:r>
          </w:p>
        </w:tc>
        <w:tc>
          <w:tcPr>
            <w:tcW w:w="7053" w:type="dxa"/>
          </w:tcPr>
          <w:p w:rsidR="00CF5EA1" w:rsidRPr="003C756E" w:rsidRDefault="00CF5EA1" w:rsidP="00E634E8">
            <w:pPr>
              <w:pStyle w:val="a5"/>
              <w:ind w:firstLine="0"/>
              <w:rPr>
                <w:rFonts w:ascii="Minion Pro" w:hAnsi="Minion Pro" w:cs="Minion Pro"/>
                <w:spacing w:val="4"/>
              </w:rPr>
            </w:pPr>
            <w:r w:rsidRPr="003C756E">
              <w:rPr>
                <w:rFonts w:ascii="Minion Pro" w:hAnsi="Minion Pro" w:cs="Minion Pro"/>
                <w:spacing w:val="4"/>
              </w:rPr>
              <w:t xml:space="preserve">Дитина навчилася виживати, </w:t>
            </w:r>
            <w:r w:rsidRPr="003C756E">
              <w:rPr>
                <w:rFonts w:ascii="Minion Pro" w:hAnsi="Minion Pro" w:cs="Minion Pro"/>
                <w:b/>
                <w:spacing w:val="4"/>
              </w:rPr>
              <w:t>порушуючи усі правила і кордони</w:t>
            </w:r>
            <w:r w:rsidRPr="003C756E">
              <w:rPr>
                <w:rFonts w:ascii="Minion Pro" w:hAnsi="Minion Pro" w:cs="Minion Pro"/>
                <w:spacing w:val="4"/>
              </w:rPr>
              <w:t xml:space="preserve"> людських стосунків. Їй не потрібно, аби її любили — вона хоче, щоб її боялися. </w:t>
            </w:r>
          </w:p>
          <w:p w:rsidR="00CF5EA1" w:rsidRPr="003C756E" w:rsidRDefault="00CF5EA1" w:rsidP="00E634E8">
            <w:pPr>
              <w:pStyle w:val="a5"/>
              <w:ind w:firstLine="0"/>
              <w:rPr>
                <w:rFonts w:ascii="Minion Pro" w:hAnsi="Minion Pro" w:cs="Minion Pro"/>
                <w:spacing w:val="4"/>
              </w:rPr>
            </w:pPr>
            <w:r w:rsidRPr="003C756E">
              <w:rPr>
                <w:rFonts w:ascii="Minion Pro" w:hAnsi="Minion Pro" w:cs="Minion Pro"/>
                <w:spacing w:val="4"/>
              </w:rPr>
              <w:t xml:space="preserve">Такий тип прив’язаності характерний для дітей, які </w:t>
            </w:r>
            <w:r w:rsidRPr="003C756E">
              <w:rPr>
                <w:rFonts w:ascii="Minion Pro" w:hAnsi="Minion Pro" w:cs="Minion Pro"/>
                <w:b/>
                <w:spacing w:val="4"/>
              </w:rPr>
              <w:t>зазнали жорстокого поводження чи насилля</w:t>
            </w:r>
            <w:r w:rsidRPr="003C756E">
              <w:rPr>
                <w:rFonts w:ascii="Minion Pro" w:hAnsi="Minion Pro" w:cs="Minion Pro"/>
                <w:spacing w:val="4"/>
              </w:rPr>
              <w:t xml:space="preserve">. Світ для них став страшним, злим, а люди — поганими, адже можуть зрадити. Себе дитина також не вважає хорошою. І тому, на її думку, світ і люди цілком справедливо заслуговують на помсту і знущання. </w:t>
            </w:r>
          </w:p>
          <w:p w:rsidR="00CF5EA1" w:rsidRPr="003C756E" w:rsidRDefault="00CF5EA1" w:rsidP="00E634E8">
            <w:pPr>
              <w:pStyle w:val="a5"/>
              <w:ind w:firstLine="0"/>
              <w:rPr>
                <w:rFonts w:ascii="Minion Pro" w:hAnsi="Minion Pro" w:cs="Minion Pro"/>
                <w:spacing w:val="4"/>
              </w:rPr>
            </w:pPr>
            <w:r w:rsidRPr="003C756E">
              <w:rPr>
                <w:rFonts w:ascii="Minion Pro" w:hAnsi="Minion Pro" w:cs="Minion Pro"/>
                <w:spacing w:val="4"/>
              </w:rPr>
              <w:t>Проте людей потрібно тримати біля себе, бо без них не можна, але на певній відстані за допомогою страху відповідальності, бо «я можу що завгодно вчинити»</w:t>
            </w:r>
          </w:p>
        </w:tc>
      </w:tr>
    </w:tbl>
    <w:p w:rsidR="001737BC" w:rsidRDefault="001737BC" w:rsidP="00C728CA">
      <w:pPr>
        <w:pStyle w:val="a3"/>
        <w:rPr>
          <w:rFonts w:ascii="Minion Pro" w:hAnsi="Minion Pro" w:cs="Minion Pro"/>
          <w:b w:val="0"/>
          <w:bCs w:val="0"/>
        </w:rPr>
      </w:pPr>
    </w:p>
    <w:p w:rsidR="00C728CA" w:rsidRPr="003C756E" w:rsidRDefault="00C728CA" w:rsidP="00C728CA">
      <w:pPr>
        <w:pStyle w:val="a3"/>
        <w:rPr>
          <w:rFonts w:ascii="Minion Pro" w:hAnsi="Minion Pro" w:cs="Minion Pro"/>
          <w:b w:val="0"/>
          <w:bCs w:val="0"/>
        </w:rPr>
      </w:pPr>
      <w:r w:rsidRPr="003C756E">
        <w:rPr>
          <w:rFonts w:ascii="Minion Pro" w:hAnsi="Minion Pro" w:cs="Minion Pro"/>
          <w:b w:val="0"/>
          <w:bCs w:val="0"/>
        </w:rPr>
        <w:t>За матеріалом Ольги Байєр,</w:t>
      </w:r>
    </w:p>
    <w:p w:rsidR="00C728CA" w:rsidRPr="003C756E" w:rsidRDefault="00C728CA" w:rsidP="00C728CA">
      <w:pPr>
        <w:pStyle w:val="a4"/>
        <w:rPr>
          <w:rFonts w:ascii="Minion Pro" w:hAnsi="Minion Pro" w:cs="Minion Pro"/>
        </w:rPr>
      </w:pPr>
      <w:r w:rsidRPr="003C756E">
        <w:rPr>
          <w:rFonts w:ascii="Minion Pro" w:hAnsi="Minion Pro" w:cs="Minion Pro"/>
        </w:rPr>
        <w:t xml:space="preserve">завідувача кафедри дошкільної освіти Запорізького ОІППО, </w:t>
      </w:r>
      <w:proofErr w:type="spellStart"/>
      <w:r w:rsidRPr="003C756E">
        <w:rPr>
          <w:rFonts w:ascii="Minion Pro" w:hAnsi="Minion Pro" w:cs="Minion Pro"/>
        </w:rPr>
        <w:t>канд</w:t>
      </w:r>
      <w:proofErr w:type="spellEnd"/>
      <w:r w:rsidRPr="003C756E">
        <w:rPr>
          <w:rFonts w:ascii="Minion Pro" w:hAnsi="Minion Pro" w:cs="Minion Pro"/>
        </w:rPr>
        <w:t>. </w:t>
      </w:r>
      <w:proofErr w:type="spellStart"/>
      <w:r w:rsidRPr="003C756E">
        <w:rPr>
          <w:rFonts w:ascii="Minion Pro" w:hAnsi="Minion Pro" w:cs="Minion Pro"/>
        </w:rPr>
        <w:t>психол</w:t>
      </w:r>
      <w:proofErr w:type="spellEnd"/>
      <w:r w:rsidRPr="003C756E">
        <w:rPr>
          <w:rFonts w:ascii="Minion Pro" w:hAnsi="Minion Pro" w:cs="Minion Pro"/>
        </w:rPr>
        <w:t>. наук, доцента,</w:t>
      </w:r>
    </w:p>
    <w:p w:rsidR="00C728CA" w:rsidRPr="003C756E" w:rsidRDefault="00C728CA" w:rsidP="00C728CA">
      <w:pPr>
        <w:pStyle w:val="a4"/>
        <w:rPr>
          <w:rFonts w:ascii="Minion Pro" w:hAnsi="Minion Pro" w:cs="Minion Pro"/>
        </w:rPr>
      </w:pPr>
      <w:r w:rsidRPr="003C756E">
        <w:rPr>
          <w:rFonts w:ascii="Minion Pro" w:hAnsi="Minion Pro" w:cs="Minion Pro"/>
        </w:rPr>
        <w:t>журнал «</w:t>
      </w:r>
      <w:hyperlink r:id="rId6" w:history="1">
        <w:r w:rsidRPr="003C756E">
          <w:rPr>
            <w:rStyle w:val="a7"/>
            <w:rFonts w:ascii="Minion Pro" w:hAnsi="Minion Pro" w:cs="Minion Pro"/>
          </w:rPr>
          <w:t>Практичний психолог: Дитячий садок</w:t>
        </w:r>
      </w:hyperlink>
      <w:r w:rsidRPr="003C756E">
        <w:rPr>
          <w:rFonts w:ascii="Minion Pro" w:hAnsi="Minion Pro" w:cs="Minion Pro"/>
        </w:rPr>
        <w:t xml:space="preserve">» </w:t>
      </w:r>
    </w:p>
    <w:sectPr w:rsidR="00C728CA" w:rsidRPr="003C75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B2BC6"/>
    <w:multiLevelType w:val="hybridMultilevel"/>
    <w:tmpl w:val="1FBE09B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0A"/>
    <w:rsid w:val="00171AE9"/>
    <w:rsid w:val="001737BC"/>
    <w:rsid w:val="002A657A"/>
    <w:rsid w:val="0030066A"/>
    <w:rsid w:val="00383A8D"/>
    <w:rsid w:val="003C756E"/>
    <w:rsid w:val="00595A72"/>
    <w:rsid w:val="005D2D9B"/>
    <w:rsid w:val="00780904"/>
    <w:rsid w:val="007F450A"/>
    <w:rsid w:val="009E3BF4"/>
    <w:rsid w:val="009E6646"/>
    <w:rsid w:val="00BF380C"/>
    <w:rsid w:val="00C728CA"/>
    <w:rsid w:val="00CF5EA1"/>
    <w:rsid w:val="00D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5E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F5E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next w:val="a4"/>
    <w:uiPriority w:val="99"/>
    <w:rsid w:val="007F450A"/>
    <w:pPr>
      <w:suppressAutoHyphens/>
      <w:autoSpaceDE w:val="0"/>
      <w:autoSpaceDN w:val="0"/>
      <w:adjustRightInd w:val="0"/>
      <w:spacing w:after="0" w:line="210" w:lineRule="atLeast"/>
      <w:textAlignment w:val="center"/>
    </w:pPr>
    <w:rPr>
      <w:rFonts w:ascii="Cambria" w:hAnsi="Cambria" w:cs="Cambria"/>
      <w:b/>
      <w:bCs/>
      <w:color w:val="000000"/>
      <w:sz w:val="18"/>
      <w:szCs w:val="18"/>
    </w:rPr>
  </w:style>
  <w:style w:type="paragraph" w:customStyle="1" w:styleId="a4">
    <w:name w:val="Статья_автор должность (Статья)"/>
    <w:basedOn w:val="a"/>
    <w:uiPriority w:val="99"/>
    <w:rsid w:val="007F450A"/>
    <w:pPr>
      <w:suppressAutoHyphens/>
      <w:autoSpaceDE w:val="0"/>
      <w:autoSpaceDN w:val="0"/>
      <w:adjustRightInd w:val="0"/>
      <w:spacing w:after="0" w:line="210" w:lineRule="atLeast"/>
      <w:textAlignment w:val="center"/>
    </w:pPr>
    <w:rPr>
      <w:rFonts w:ascii="Cambria" w:hAnsi="Cambria" w:cs="Cambria"/>
      <w:color w:val="000000"/>
      <w:sz w:val="18"/>
      <w:szCs w:val="18"/>
    </w:rPr>
  </w:style>
  <w:style w:type="paragraph" w:customStyle="1" w:styleId="a5">
    <w:name w:val="Додаток_основной_текст (Додаток)"/>
    <w:basedOn w:val="a"/>
    <w:uiPriority w:val="99"/>
    <w:rsid w:val="007F450A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</w:rPr>
  </w:style>
  <w:style w:type="paragraph" w:customStyle="1" w:styleId="3">
    <w:name w:val="Додаток_заголовок 3 (Додаток)"/>
    <w:basedOn w:val="a5"/>
    <w:uiPriority w:val="99"/>
    <w:rsid w:val="007F450A"/>
    <w:pPr>
      <w:suppressAutoHyphens/>
      <w:spacing w:after="113" w:line="300" w:lineRule="atLeast"/>
      <w:ind w:firstLine="0"/>
      <w:jc w:val="center"/>
    </w:pPr>
    <w:rPr>
      <w:b/>
      <w:bCs/>
      <w:sz w:val="26"/>
      <w:szCs w:val="26"/>
    </w:rPr>
  </w:style>
  <w:style w:type="character" w:customStyle="1" w:styleId="BoldItalic">
    <w:name w:val="BoldItalic"/>
    <w:basedOn w:val="a0"/>
    <w:uiPriority w:val="99"/>
    <w:rsid w:val="007F450A"/>
    <w:rPr>
      <w:rFonts w:ascii="Times New Roman" w:hAnsi="Times New Roman" w:cs="Times New Roman"/>
      <w:b/>
      <w:bCs/>
      <w:i/>
      <w:iCs/>
      <w:w w:val="100"/>
      <w:lang w:val="ru-RU"/>
    </w:rPr>
  </w:style>
  <w:style w:type="table" w:styleId="a6">
    <w:name w:val="Table Grid"/>
    <w:basedOn w:val="a1"/>
    <w:uiPriority w:val="59"/>
    <w:rsid w:val="00CF5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F5E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F5E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unhideWhenUsed/>
    <w:rsid w:val="00383A8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809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5E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F5E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next w:val="a4"/>
    <w:uiPriority w:val="99"/>
    <w:rsid w:val="007F450A"/>
    <w:pPr>
      <w:suppressAutoHyphens/>
      <w:autoSpaceDE w:val="0"/>
      <w:autoSpaceDN w:val="0"/>
      <w:adjustRightInd w:val="0"/>
      <w:spacing w:after="0" w:line="210" w:lineRule="atLeast"/>
      <w:textAlignment w:val="center"/>
    </w:pPr>
    <w:rPr>
      <w:rFonts w:ascii="Cambria" w:hAnsi="Cambria" w:cs="Cambria"/>
      <w:b/>
      <w:bCs/>
      <w:color w:val="000000"/>
      <w:sz w:val="18"/>
      <w:szCs w:val="18"/>
    </w:rPr>
  </w:style>
  <w:style w:type="paragraph" w:customStyle="1" w:styleId="a4">
    <w:name w:val="Статья_автор должность (Статья)"/>
    <w:basedOn w:val="a"/>
    <w:uiPriority w:val="99"/>
    <w:rsid w:val="007F450A"/>
    <w:pPr>
      <w:suppressAutoHyphens/>
      <w:autoSpaceDE w:val="0"/>
      <w:autoSpaceDN w:val="0"/>
      <w:adjustRightInd w:val="0"/>
      <w:spacing w:after="0" w:line="210" w:lineRule="atLeast"/>
      <w:textAlignment w:val="center"/>
    </w:pPr>
    <w:rPr>
      <w:rFonts w:ascii="Cambria" w:hAnsi="Cambria" w:cs="Cambria"/>
      <w:color w:val="000000"/>
      <w:sz w:val="18"/>
      <w:szCs w:val="18"/>
    </w:rPr>
  </w:style>
  <w:style w:type="paragraph" w:customStyle="1" w:styleId="a5">
    <w:name w:val="Додаток_основной_текст (Додаток)"/>
    <w:basedOn w:val="a"/>
    <w:uiPriority w:val="99"/>
    <w:rsid w:val="007F450A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</w:rPr>
  </w:style>
  <w:style w:type="paragraph" w:customStyle="1" w:styleId="3">
    <w:name w:val="Додаток_заголовок 3 (Додаток)"/>
    <w:basedOn w:val="a5"/>
    <w:uiPriority w:val="99"/>
    <w:rsid w:val="007F450A"/>
    <w:pPr>
      <w:suppressAutoHyphens/>
      <w:spacing w:after="113" w:line="300" w:lineRule="atLeast"/>
      <w:ind w:firstLine="0"/>
      <w:jc w:val="center"/>
    </w:pPr>
    <w:rPr>
      <w:b/>
      <w:bCs/>
      <w:sz w:val="26"/>
      <w:szCs w:val="26"/>
    </w:rPr>
  </w:style>
  <w:style w:type="character" w:customStyle="1" w:styleId="BoldItalic">
    <w:name w:val="BoldItalic"/>
    <w:basedOn w:val="a0"/>
    <w:uiPriority w:val="99"/>
    <w:rsid w:val="007F450A"/>
    <w:rPr>
      <w:rFonts w:ascii="Times New Roman" w:hAnsi="Times New Roman" w:cs="Times New Roman"/>
      <w:b/>
      <w:bCs/>
      <w:i/>
      <w:iCs/>
      <w:w w:val="100"/>
      <w:lang w:val="ru-RU"/>
    </w:rPr>
  </w:style>
  <w:style w:type="table" w:styleId="a6">
    <w:name w:val="Table Grid"/>
    <w:basedOn w:val="a1"/>
    <w:uiPriority w:val="59"/>
    <w:rsid w:val="00CF5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F5E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F5E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unhideWhenUsed/>
    <w:rsid w:val="00383A8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80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siholog.mcfr.ua/?utm_source=pedrada.com.ua&amp;utm_medium=refer&amp;utm_campaign=content_li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1677</Words>
  <Characters>957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12</cp:revision>
  <dcterms:created xsi:type="dcterms:W3CDTF">2018-03-07T09:42:00Z</dcterms:created>
  <dcterms:modified xsi:type="dcterms:W3CDTF">2018-03-07T14:00:00Z</dcterms:modified>
</cp:coreProperties>
</file>