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34" w:rsidRPr="00F35F34" w:rsidRDefault="004B4558" w:rsidP="00F35F34">
      <w:pPr>
        <w:pStyle w:val="2"/>
        <w:spacing w:after="113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"https://www.pedrada.com.ua/article/1945-yak-prezentuvati-perspektivniy-pedagogchniy-dosvd"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F35F34" w:rsidRPr="004B4558">
        <w:rPr>
          <w:rStyle w:val="a7"/>
          <w:lang w:val="uk-UA"/>
        </w:rPr>
        <w:t xml:space="preserve">Орієнтовний план роботи </w:t>
      </w:r>
      <w:r w:rsidR="00F35F34" w:rsidRPr="004B4558">
        <w:rPr>
          <w:rStyle w:val="a7"/>
          <w:lang w:val="uk-UA"/>
        </w:rPr>
        <w:br/>
        <w:t>педагогічного клубу «Майстерня успіху»</w:t>
      </w:r>
      <w:r>
        <w:rPr>
          <w:lang w:val="uk-UA"/>
        </w:rPr>
        <w:fldChar w:fldCharType="end"/>
      </w: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7398"/>
      </w:tblGrid>
      <w:tr w:rsidR="00F35F34" w:rsidRPr="00F35F34" w:rsidTr="00945784">
        <w:trPr>
          <w:trHeight w:val="60"/>
          <w:tblHeader/>
        </w:trPr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4"/>
            </w:pPr>
            <w:r w:rsidRPr="00F35F34">
              <w:t>Тема засідання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4"/>
            </w:pPr>
            <w:r w:rsidRPr="00F35F34">
              <w:t>Форма та зміст засідання</w:t>
            </w:r>
          </w:p>
        </w:tc>
      </w:tr>
      <w:tr w:rsidR="00F35F34" w:rsidRPr="00F35F34" w:rsidTr="00945784">
        <w:trPr>
          <w:trHeight w:val="1424"/>
        </w:trPr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>Перспективний педагогічний досвід (</w:t>
            </w:r>
            <w:r w:rsidRPr="00F35F34">
              <w:rPr>
                <w:rStyle w:val="Italic"/>
              </w:rPr>
              <w:t>далі</w:t>
            </w:r>
            <w:r w:rsidRPr="00F35F34">
              <w:t> — ППД): теоретичні основи, композиційна структура та оформлення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 xml:space="preserve">Круглий стіл: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>Загальні критерії ППД та їх характеристики</w:t>
            </w:r>
          </w:p>
          <w:p w:rsidR="00F35F34" w:rsidRPr="00F35F34" w:rsidRDefault="00F35F34" w:rsidP="00945784">
            <w:pPr>
              <w:pStyle w:val="a6"/>
            </w:pPr>
            <w:r w:rsidRPr="00F35F34">
              <w:t>Етапи моделювання ППД та його трансформації в практику роботи дошкільного навчального закладу</w:t>
            </w:r>
          </w:p>
          <w:p w:rsidR="00F35F34" w:rsidRPr="00F35F34" w:rsidRDefault="00F35F34" w:rsidP="00945784">
            <w:pPr>
              <w:pStyle w:val="a6"/>
            </w:pPr>
            <w:r w:rsidRPr="00F35F34">
              <w:t>Композиційна структура ППД</w:t>
            </w:r>
          </w:p>
          <w:p w:rsidR="00F35F34" w:rsidRPr="00F35F34" w:rsidRDefault="00F35F34" w:rsidP="00945784">
            <w:pPr>
              <w:pStyle w:val="a6"/>
            </w:pPr>
            <w:r w:rsidRPr="00F35F34">
              <w:t>Форми висвітлення досвіду</w:t>
            </w:r>
          </w:p>
          <w:p w:rsidR="00F35F34" w:rsidRPr="00F35F34" w:rsidRDefault="00F35F34" w:rsidP="00945784">
            <w:pPr>
              <w:pStyle w:val="a5"/>
            </w:pPr>
            <w:r w:rsidRPr="00F35F34">
              <w:t>Практикум «Вибір теми та формулювання назви досвіду»</w:t>
            </w:r>
          </w:p>
        </w:tc>
      </w:tr>
      <w:tr w:rsidR="00F35F34" w:rsidRPr="00F35F34" w:rsidTr="00945784">
        <w:trPr>
          <w:trHeight w:val="60"/>
        </w:trPr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>Мультимедійна презентація (</w:t>
            </w:r>
            <w:r w:rsidRPr="00F35F34">
              <w:rPr>
                <w:rStyle w:val="Italic"/>
              </w:rPr>
              <w:t>далі</w:t>
            </w:r>
            <w:r w:rsidRPr="00F35F34">
              <w:t> — МП): сучасні підходи до створення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 xml:space="preserve">Консультація-презентація «Поняття «Мультимедійна презентація»: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Переваги МП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Ефективність МП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Прийоми, які допоможуть провести успішну презентацію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Структура МП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Критерії МП конкурсної роботи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>Структура МП конкурсної роботи</w:t>
            </w:r>
          </w:p>
          <w:p w:rsidR="00F35F34" w:rsidRPr="00F35F34" w:rsidRDefault="00F35F34" w:rsidP="00945784">
            <w:pPr>
              <w:pStyle w:val="a5"/>
            </w:pPr>
            <w:r w:rsidRPr="00F35F34">
              <w:t xml:space="preserve">Порівняльний аналіз структури та змісту МП перспективного педагогічного досвіду на теми: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Словникова робота з дітьми старшого дошкільного віку у процесі </w:t>
            </w:r>
            <w:r w:rsidRPr="00F35F34">
              <w:br/>
              <w:t>пошуково-дослідницької діяльності</w:t>
            </w:r>
          </w:p>
          <w:p w:rsidR="00F35F34" w:rsidRPr="00F35F34" w:rsidRDefault="00F35F34" w:rsidP="00945784">
            <w:pPr>
              <w:pStyle w:val="a6"/>
            </w:pPr>
            <w:r w:rsidRPr="00F35F34">
              <w:t>Екологічний проект «Відкриваємо таємниці Чорного моря» як засіб формування екологічної свідомості дітей дошкільного віку</w:t>
            </w:r>
          </w:p>
        </w:tc>
      </w:tr>
      <w:tr w:rsidR="00F35F34" w:rsidRPr="00F35F34" w:rsidTr="00945784">
        <w:trPr>
          <w:trHeight w:val="60"/>
        </w:trPr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>МП як форма супроводу методичного заходу, під час якого висвітлюють досвід педагога чи педагогічного колективу дошкільного навчального закладу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>Перегляд та обговорення таких МП: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Козацька школа як засіб національно-патріотичного виховання дітей дошкільного віку — для участі в обласному заочному конкурсі «Педагогічний досвід освітян регіону»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Музичні свята та розваги в ДНЗ. Підготовка та розробка сценарію, взаємодія дорослих та дітей — для організації методичного об’єднання музичних керівників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Модель співпраці практичного психолога та вчителя-логопеда </w:t>
            </w:r>
            <w:r w:rsidRPr="00F35F34">
              <w:br/>
              <w:t>у корекційно-розвивальній діяльності в умовах дошкільного навчального закладу — для проведення семінару-практикуму</w:t>
            </w:r>
          </w:p>
          <w:p w:rsidR="00F35F34" w:rsidRPr="00F35F34" w:rsidRDefault="00F35F34" w:rsidP="00945784">
            <w:pPr>
              <w:pStyle w:val="a5"/>
            </w:pPr>
            <w:r w:rsidRPr="00F35F34">
              <w:t xml:space="preserve">Практичний показ семінару-практикуму «Модель співпраці практичного психолога та вчителя-логопеда у корекційно-розвивальній діяльності в умовах дошкільного навчального закладу»  </w:t>
            </w:r>
          </w:p>
        </w:tc>
      </w:tr>
      <w:tr w:rsidR="00F35F34" w:rsidRPr="00F35F34" w:rsidTr="00945784">
        <w:trPr>
          <w:trHeight w:val="60"/>
        </w:trPr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>Відеофільм як форма відображення досвіду роботи дошкільного навчального закладу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 xml:space="preserve">Консультації: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>Розроблення сценарію відеофільму про діяльність дошкільного навчального закладу</w:t>
            </w:r>
          </w:p>
          <w:p w:rsidR="00F35F34" w:rsidRPr="00F35F34" w:rsidRDefault="00F35F34" w:rsidP="00945784">
            <w:pPr>
              <w:pStyle w:val="a6"/>
            </w:pPr>
            <w:r w:rsidRPr="00F35F34">
              <w:t>Вимоги до відеоматеріалів для заочного обласного конкурсу портфоліо «Педагогічний досвід освітян регіону»</w:t>
            </w:r>
          </w:p>
          <w:p w:rsidR="00F35F34" w:rsidRPr="00F35F34" w:rsidRDefault="00F35F34" w:rsidP="00945784">
            <w:pPr>
              <w:pStyle w:val="a6"/>
              <w:rPr>
                <w:rtl/>
                <w:lang w:bidi="ar-YE"/>
              </w:rPr>
            </w:pPr>
            <w:r w:rsidRPr="00F35F34">
              <w:rPr>
                <w:lang w:bidi="ar-YE"/>
              </w:rPr>
              <w:t>Педагогічний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кінофестиваль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ДОМ</w:t>
            </w:r>
            <w:r w:rsidRPr="00F35F34">
              <w:rPr>
                <w:rFonts w:cs="Times New Roman"/>
                <w:rtl/>
                <w:lang w:bidi="ar-YE"/>
              </w:rPr>
              <w:t xml:space="preserve"> (</w:t>
            </w:r>
            <w:r w:rsidRPr="00F35F34">
              <w:rPr>
                <w:lang w:bidi="ar-YE"/>
              </w:rPr>
              <w:t>дошкільної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освіти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Миколаєва</w:t>
            </w:r>
            <w:r w:rsidRPr="00F35F34">
              <w:rPr>
                <w:rFonts w:cs="Times New Roman"/>
                <w:rtl/>
                <w:lang w:bidi="ar-YE"/>
              </w:rPr>
              <w:t>) «</w:t>
            </w:r>
            <w:r w:rsidRPr="00F35F34">
              <w:rPr>
                <w:lang w:bidi="ar-YE"/>
              </w:rPr>
              <w:t>Відеофільм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як</w:t>
            </w:r>
            <w:r w:rsidRPr="00F35F34">
              <w:rPr>
                <w:rFonts w:cs="Times New Roman"/>
                <w:rtl/>
                <w:lang w:bidi="ar-YE"/>
              </w:rPr>
              <w:t> </w:t>
            </w:r>
            <w:r w:rsidRPr="00F35F34">
              <w:rPr>
                <w:lang w:bidi="ar-YE"/>
              </w:rPr>
              <w:t>предмет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методичного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висвітлення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досвіду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дошкільного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навчального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закладу</w:t>
            </w:r>
            <w:r w:rsidRPr="00F35F34">
              <w:rPr>
                <w:rFonts w:cs="Times New Roman"/>
                <w:rtl/>
                <w:lang w:bidi="ar-YE"/>
              </w:rPr>
              <w:t xml:space="preserve"> </w:t>
            </w:r>
            <w:r w:rsidRPr="00F35F34">
              <w:rPr>
                <w:lang w:bidi="ar-YE"/>
              </w:rPr>
              <w:t>та</w:t>
            </w:r>
            <w:r w:rsidRPr="00F35F34">
              <w:rPr>
                <w:rFonts w:cs="Times New Roman"/>
                <w:rtl/>
                <w:lang w:bidi="ar-YE"/>
              </w:rPr>
              <w:t> </w:t>
            </w:r>
            <w:r w:rsidRPr="00F35F34">
              <w:rPr>
                <w:lang w:bidi="ar-YE"/>
              </w:rPr>
              <w:t>кіномистецтва</w:t>
            </w:r>
            <w:r w:rsidRPr="00F35F34">
              <w:rPr>
                <w:rFonts w:cs="Times New Roman"/>
                <w:rtl/>
                <w:lang w:bidi="ar-YE"/>
              </w:rPr>
              <w:t xml:space="preserve">» </w:t>
            </w:r>
          </w:p>
          <w:p w:rsidR="00F35F34" w:rsidRPr="00F35F34" w:rsidRDefault="00F35F34" w:rsidP="00945784">
            <w:pPr>
              <w:pStyle w:val="a5"/>
              <w:rPr>
                <w:spacing w:val="-3"/>
              </w:rPr>
            </w:pPr>
            <w:r w:rsidRPr="00F35F34">
              <w:rPr>
                <w:spacing w:val="-3"/>
              </w:rPr>
              <w:t xml:space="preserve">Перегляд та аналізування відеофільмів, створених у дошкільних навчальних закладах міста: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Веселкова логіка — звіт про експериментальну роботу всеукраїнського рівня за темою «Розвиток логічного мислення дітей дошкільного віку»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Допоможи мені зробити це самому — упровадження методики Марії Монтессорі в освітній </w:t>
            </w:r>
            <w:proofErr w:type="spellStart"/>
            <w:r w:rsidRPr="00F35F34">
              <w:t>процесс</w:t>
            </w:r>
            <w:proofErr w:type="spellEnd"/>
            <w:r w:rsidRPr="00F35F34">
              <w:t xml:space="preserve"> з дітьми дошкільного віку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Відкриваємо таємниці Чорного моря — реалізація міжнародного екологічного проекту «Кожна краплина має значення» та Всеукраїнського екологічного проекту «Чорноморська скринька» </w:t>
            </w:r>
          </w:p>
          <w:p w:rsidR="00F35F34" w:rsidRPr="00F35F34" w:rsidRDefault="00F35F34" w:rsidP="00945784">
            <w:pPr>
              <w:pStyle w:val="a6"/>
            </w:pPr>
            <w:r w:rsidRPr="00F35F34">
              <w:t xml:space="preserve">У казковому лабіринті гри — упровадження ігрової технології </w:t>
            </w:r>
            <w:proofErr w:type="spellStart"/>
            <w:r w:rsidRPr="00F35F34">
              <w:t>інтелектуально</w:t>
            </w:r>
            <w:proofErr w:type="spellEnd"/>
            <w:r w:rsidRPr="00F35F34">
              <w:t>-творчого розвитку дітей дошкільного віку В’ячеслава </w:t>
            </w:r>
            <w:proofErr w:type="spellStart"/>
            <w:r w:rsidRPr="00F35F34">
              <w:t>Воскобовича</w:t>
            </w:r>
            <w:proofErr w:type="spellEnd"/>
          </w:p>
          <w:p w:rsidR="00F35F34" w:rsidRPr="00F35F34" w:rsidRDefault="00F35F34" w:rsidP="00945784">
            <w:pPr>
              <w:pStyle w:val="a6"/>
            </w:pPr>
            <w:r w:rsidRPr="00F35F34">
              <w:t>«Сходинки у розвитку інтелекту та творчості дитини» — використання розвивальних ігор Бориса Нікітіна в системі навчально-пізнавальних занять для дітей старшого дошкільного віку</w:t>
            </w:r>
          </w:p>
        </w:tc>
      </w:tr>
      <w:tr w:rsidR="00F35F34" w:rsidRPr="00F35F34" w:rsidTr="00945784">
        <w:trPr>
          <w:trHeight w:val="424"/>
        </w:trPr>
        <w:tc>
          <w:tcPr>
            <w:tcW w:w="19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 xml:space="preserve">Презентація перспективного педагогічного досвіду вихователів, які претендують на присвоєння педагогічного звання </w:t>
            </w:r>
            <w:r w:rsidRPr="00F35F34">
              <w:rPr>
                <w:spacing w:val="-6"/>
              </w:rPr>
              <w:t>«вихователь-методист»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35F34" w:rsidRPr="00F35F34" w:rsidRDefault="00F35F34" w:rsidP="00945784">
            <w:pPr>
              <w:pStyle w:val="a5"/>
            </w:pPr>
            <w:r w:rsidRPr="00F35F34">
              <w:t>Авторське крісло «Мій педагогічний досвід»</w:t>
            </w:r>
          </w:p>
        </w:tc>
      </w:tr>
    </w:tbl>
    <w:p w:rsidR="00F35F34" w:rsidRPr="00F35F34" w:rsidRDefault="00F35F34" w:rsidP="00F35F34">
      <w:pPr>
        <w:pStyle w:val="a3"/>
        <w:rPr>
          <w:b/>
          <w:bCs/>
        </w:rPr>
      </w:pPr>
    </w:p>
    <w:p w:rsidR="00F35F34" w:rsidRPr="00F35F34" w:rsidRDefault="00F35F34" w:rsidP="00F35F34">
      <w:pPr>
        <w:rPr>
          <w:lang w:val="uk-UA"/>
        </w:rPr>
      </w:pPr>
    </w:p>
    <w:p w:rsidR="0030066A" w:rsidRPr="00F35F34" w:rsidRDefault="0030066A">
      <w:pPr>
        <w:rPr>
          <w:lang w:val="uk-UA"/>
        </w:rPr>
      </w:pPr>
    </w:p>
    <w:sectPr w:rsidR="0030066A" w:rsidRPr="00F35F34" w:rsidSect="00D5014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34"/>
    <w:rsid w:val="00171AE9"/>
    <w:rsid w:val="0030066A"/>
    <w:rsid w:val="004B4558"/>
    <w:rsid w:val="009E3BF4"/>
    <w:rsid w:val="00D2648F"/>
    <w:rsid w:val="00F3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uiPriority w:val="99"/>
    <w:rsid w:val="00F35F34"/>
    <w:rPr>
      <w:i/>
      <w:iCs/>
    </w:rPr>
  </w:style>
  <w:style w:type="paragraph" w:customStyle="1" w:styleId="a3">
    <w:name w:val="Додаток_основной_текст (Додаток)"/>
    <w:basedOn w:val="a"/>
    <w:uiPriority w:val="99"/>
    <w:rsid w:val="00F35F3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F35F3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4">
    <w:name w:val="Додаток_таблица_шапка (Додаток)"/>
    <w:basedOn w:val="a"/>
    <w:uiPriority w:val="99"/>
    <w:rsid w:val="00F35F34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5">
    <w:name w:val="Додаток_таблица_основной текст (Додаток)"/>
    <w:basedOn w:val="a"/>
    <w:uiPriority w:val="99"/>
    <w:rsid w:val="00F35F3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paragraph" w:customStyle="1" w:styleId="a6">
    <w:name w:val="таблица_список (Додаток)"/>
    <w:basedOn w:val="a5"/>
    <w:uiPriority w:val="99"/>
    <w:rsid w:val="00F35F34"/>
    <w:pPr>
      <w:ind w:left="170" w:hanging="170"/>
    </w:pPr>
  </w:style>
  <w:style w:type="character" w:styleId="a7">
    <w:name w:val="Hyperlink"/>
    <w:basedOn w:val="a0"/>
    <w:uiPriority w:val="99"/>
    <w:unhideWhenUsed/>
    <w:rsid w:val="004B4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3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alic">
    <w:name w:val="Italic"/>
    <w:uiPriority w:val="99"/>
    <w:rsid w:val="00F35F34"/>
    <w:rPr>
      <w:i/>
      <w:iCs/>
    </w:rPr>
  </w:style>
  <w:style w:type="paragraph" w:customStyle="1" w:styleId="a3">
    <w:name w:val="Додаток_основной_текст (Додаток)"/>
    <w:basedOn w:val="a"/>
    <w:uiPriority w:val="99"/>
    <w:rsid w:val="00F35F3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F35F3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4">
    <w:name w:val="Додаток_таблица_шапка (Додаток)"/>
    <w:basedOn w:val="a"/>
    <w:uiPriority w:val="99"/>
    <w:rsid w:val="00F35F34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5">
    <w:name w:val="Додаток_таблица_основной текст (Додаток)"/>
    <w:basedOn w:val="a"/>
    <w:uiPriority w:val="99"/>
    <w:rsid w:val="00F35F3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paragraph" w:customStyle="1" w:styleId="a6">
    <w:name w:val="таблица_список (Додаток)"/>
    <w:basedOn w:val="a5"/>
    <w:uiPriority w:val="99"/>
    <w:rsid w:val="00F35F34"/>
    <w:pPr>
      <w:ind w:left="170" w:hanging="170"/>
    </w:pPr>
  </w:style>
  <w:style w:type="character" w:styleId="a7">
    <w:name w:val="Hyperlink"/>
    <w:basedOn w:val="a0"/>
    <w:uiPriority w:val="99"/>
    <w:unhideWhenUsed/>
    <w:rsid w:val="004B4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3083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2018-01-15T08:58:00Z</dcterms:created>
  <dcterms:modified xsi:type="dcterms:W3CDTF">2018-01-15T09:58:00Z</dcterms:modified>
</cp:coreProperties>
</file>