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46" w:rsidRPr="00B546DD" w:rsidRDefault="00B546DD" w:rsidP="00B546DD">
      <w:pPr>
        <w:pStyle w:val="1"/>
        <w:jc w:val="center"/>
        <w:rPr>
          <w:lang w:val="uk-UA"/>
        </w:rPr>
      </w:pPr>
      <w:hyperlink r:id="rId6" w:history="1">
        <w:r w:rsidR="00A00146" w:rsidRPr="00B546DD">
          <w:rPr>
            <w:rStyle w:val="a7"/>
            <w:rFonts w:ascii="Minion Pro" w:hAnsi="Minion Pro" w:cs="Minion Pro"/>
            <w:lang w:val="uk-UA"/>
          </w:rPr>
          <w:t>Структура і зміст посадових інструкцій</w:t>
        </w:r>
      </w:hyperlink>
      <w:r w:rsidR="00A00146" w:rsidRPr="00B546DD">
        <w:rPr>
          <w:lang w:val="uk-UA"/>
        </w:rPr>
        <w:br/>
        <w:t>Пам’ятка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9001"/>
      </w:tblGrid>
      <w:tr w:rsidR="00A00146" w:rsidRPr="00B546DD" w:rsidTr="00B546DD">
        <w:trPr>
          <w:trHeight w:val="60"/>
        </w:trPr>
        <w:tc>
          <w:tcPr>
            <w:tcW w:w="7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0146" w:rsidRPr="00B546DD" w:rsidRDefault="00A00146" w:rsidP="00ED0518">
            <w:pPr>
              <w:pStyle w:val="a5"/>
            </w:pPr>
            <w:r w:rsidRPr="00B546DD">
              <w:rPr>
                <w:rFonts w:ascii="Minion Pro" w:hAnsi="Minion Pro" w:cs="Minion Pro"/>
              </w:rPr>
              <w:t>Назва</w:t>
            </w:r>
            <w:r w:rsidR="00ED0518" w:rsidRPr="00B546DD">
              <w:rPr>
                <w:rFonts w:ascii="Minion Pro" w:hAnsi="Minion Pro" w:cs="Minion Pro"/>
              </w:rPr>
              <w:t xml:space="preserve"> </w:t>
            </w:r>
            <w:r w:rsidRPr="00B546DD">
              <w:rPr>
                <w:rFonts w:ascii="Minion Pro" w:hAnsi="Minion Pro" w:cs="Minion Pro"/>
              </w:rPr>
              <w:t>розділу</w:t>
            </w:r>
          </w:p>
        </w:tc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0146" w:rsidRPr="00B546DD" w:rsidRDefault="00A00146" w:rsidP="00B546DD">
            <w:pPr>
              <w:pStyle w:val="a5"/>
              <w:ind w:left="360"/>
            </w:pPr>
            <w:r w:rsidRPr="00B546DD">
              <w:rPr>
                <w:rFonts w:ascii="Minion Pro" w:hAnsi="Minion Pro" w:cs="Minion Pro"/>
              </w:rPr>
              <w:t>Зміст розділу</w:t>
            </w:r>
          </w:p>
        </w:tc>
      </w:tr>
      <w:tr w:rsidR="00A00146" w:rsidRPr="00B546DD" w:rsidTr="00B546DD">
        <w:trPr>
          <w:trHeight w:val="60"/>
        </w:trPr>
        <w:tc>
          <w:tcPr>
            <w:tcW w:w="7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146" w:rsidRPr="00B546DD" w:rsidRDefault="00A00146" w:rsidP="00B546DD">
            <w:pPr>
              <w:pStyle w:val="a3"/>
              <w:suppressAutoHyphens w:val="0"/>
            </w:pPr>
            <w:r w:rsidRPr="00B546DD">
              <w:rPr>
                <w:rFonts w:ascii="Minion Pro" w:hAnsi="Minion Pro" w:cs="Minion Pro"/>
                <w:b/>
                <w:bCs/>
              </w:rPr>
              <w:t>Загальні</w:t>
            </w:r>
            <w:r w:rsidR="00B546DD" w:rsidRPr="00B546DD">
              <w:rPr>
                <w:rFonts w:ascii="Minion Pro" w:hAnsi="Minion Pro" w:cs="Minion Pro"/>
                <w:b/>
                <w:bCs/>
              </w:rPr>
              <w:t xml:space="preserve"> </w:t>
            </w:r>
            <w:r w:rsidRPr="00B546DD">
              <w:rPr>
                <w:rFonts w:ascii="Minion Pro" w:hAnsi="Minion Pro" w:cs="Minion Pro"/>
                <w:b/>
                <w:bCs/>
              </w:rPr>
              <w:t>положення</w:t>
            </w:r>
          </w:p>
        </w:tc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146" w:rsidRPr="00B546DD" w:rsidRDefault="00A00146" w:rsidP="00B546DD">
            <w:pPr>
              <w:pStyle w:val="a6"/>
              <w:numPr>
                <w:ilvl w:val="0"/>
                <w:numId w:val="3"/>
              </w:numPr>
              <w:rPr>
                <w:rFonts w:ascii="Minion Pro" w:hAnsi="Minion Pro" w:cs="Minion Pro"/>
                <w:sz w:val="18"/>
                <w:szCs w:val="18"/>
              </w:rPr>
            </w:pPr>
            <w:r w:rsidRPr="00B546DD">
              <w:rPr>
                <w:rFonts w:ascii="Minion Pro" w:hAnsi="Minion Pro" w:cs="Minion Pro"/>
                <w:sz w:val="18"/>
                <w:szCs w:val="18"/>
              </w:rPr>
              <w:t>основні дані про посаду (професію)</w:t>
            </w:r>
          </w:p>
          <w:p w:rsidR="00A00146" w:rsidRPr="00B546DD" w:rsidRDefault="00A00146" w:rsidP="00B546DD">
            <w:pPr>
              <w:pStyle w:val="a6"/>
              <w:numPr>
                <w:ilvl w:val="0"/>
                <w:numId w:val="3"/>
              </w:numPr>
              <w:rPr>
                <w:rFonts w:ascii="Minion Pro" w:hAnsi="Minion Pro" w:cs="Minion Pro"/>
                <w:sz w:val="18"/>
                <w:szCs w:val="18"/>
              </w:rPr>
            </w:pPr>
            <w:r w:rsidRPr="00B546DD">
              <w:rPr>
                <w:rFonts w:ascii="Minion Pro" w:hAnsi="Minion Pro" w:cs="Minion Pro"/>
                <w:sz w:val="18"/>
                <w:szCs w:val="18"/>
              </w:rPr>
              <w:t>основні функції працівника</w:t>
            </w:r>
          </w:p>
          <w:p w:rsidR="00A00146" w:rsidRPr="00B546DD" w:rsidRDefault="00A00146" w:rsidP="00B546DD">
            <w:pPr>
              <w:pStyle w:val="a6"/>
              <w:numPr>
                <w:ilvl w:val="0"/>
                <w:numId w:val="3"/>
              </w:numPr>
              <w:rPr>
                <w:rFonts w:ascii="Minion Pro" w:hAnsi="Minion Pro" w:cs="Minion Pro"/>
                <w:sz w:val="18"/>
                <w:szCs w:val="18"/>
              </w:rPr>
            </w:pPr>
            <w:r w:rsidRPr="00B546DD">
              <w:rPr>
                <w:rFonts w:ascii="Minion Pro" w:hAnsi="Minion Pro" w:cs="Minion Pro"/>
                <w:sz w:val="18"/>
                <w:szCs w:val="18"/>
              </w:rPr>
              <w:t>сфера діяльності працівника або назва структурного підрозділу, де він працює</w:t>
            </w:r>
          </w:p>
          <w:p w:rsidR="00A00146" w:rsidRPr="00B546DD" w:rsidRDefault="00A00146" w:rsidP="00B546DD">
            <w:pPr>
              <w:pStyle w:val="a6"/>
              <w:numPr>
                <w:ilvl w:val="0"/>
                <w:numId w:val="3"/>
              </w:numPr>
              <w:rPr>
                <w:rFonts w:ascii="Minion Pro" w:hAnsi="Minion Pro" w:cs="Minion Pro"/>
                <w:sz w:val="18"/>
                <w:szCs w:val="18"/>
              </w:rPr>
            </w:pPr>
            <w:r w:rsidRPr="00B546DD">
              <w:rPr>
                <w:rFonts w:ascii="Minion Pro" w:hAnsi="Minion Pro" w:cs="Minion Pro"/>
                <w:sz w:val="18"/>
                <w:szCs w:val="18"/>
              </w:rPr>
              <w:t>пере</w:t>
            </w:r>
            <w:bookmarkStart w:id="0" w:name="_GoBack"/>
            <w:bookmarkEnd w:id="0"/>
            <w:r w:rsidRPr="00B546DD">
              <w:rPr>
                <w:rFonts w:ascii="Minion Pro" w:hAnsi="Minion Pro" w:cs="Minion Pro"/>
                <w:sz w:val="18"/>
                <w:szCs w:val="18"/>
              </w:rPr>
              <w:t>лік законодавчих актів, нормативних та інших документів, якими працівник керується у своїй роботі</w:t>
            </w:r>
          </w:p>
          <w:p w:rsidR="00A00146" w:rsidRPr="00B546DD" w:rsidRDefault="00A00146" w:rsidP="00B546DD">
            <w:pPr>
              <w:pStyle w:val="a6"/>
              <w:numPr>
                <w:ilvl w:val="0"/>
                <w:numId w:val="3"/>
              </w:numPr>
              <w:rPr>
                <w:rFonts w:ascii="Minion Pro" w:hAnsi="Minion Pro" w:cs="Minion Pro"/>
                <w:sz w:val="18"/>
                <w:szCs w:val="18"/>
              </w:rPr>
            </w:pPr>
            <w:r w:rsidRPr="00B546DD">
              <w:rPr>
                <w:rFonts w:ascii="Minion Pro" w:hAnsi="Minion Pro" w:cs="Minion Pro"/>
                <w:sz w:val="18"/>
                <w:szCs w:val="18"/>
              </w:rPr>
              <w:t>порядок прийняття працівника на роботу і його звільнення</w:t>
            </w:r>
          </w:p>
          <w:p w:rsidR="00A00146" w:rsidRPr="00B546DD" w:rsidRDefault="00A00146" w:rsidP="00B546DD">
            <w:pPr>
              <w:pStyle w:val="a6"/>
              <w:numPr>
                <w:ilvl w:val="0"/>
                <w:numId w:val="3"/>
              </w:numPr>
              <w:rPr>
                <w:rFonts w:ascii="Minion Pro" w:hAnsi="Minion Pro" w:cs="Minion Pro"/>
                <w:sz w:val="18"/>
                <w:szCs w:val="18"/>
              </w:rPr>
            </w:pPr>
            <w:r w:rsidRPr="00B546DD">
              <w:rPr>
                <w:rFonts w:ascii="Minion Pro" w:hAnsi="Minion Pro" w:cs="Minion Pro"/>
                <w:sz w:val="18"/>
                <w:szCs w:val="18"/>
              </w:rPr>
              <w:t>безпосередня підпорядкованість працівника і наявність у нього підлеглих</w:t>
            </w:r>
          </w:p>
          <w:p w:rsidR="00A00146" w:rsidRPr="00B546DD" w:rsidRDefault="00A00146" w:rsidP="00B546DD">
            <w:pPr>
              <w:pStyle w:val="a6"/>
              <w:numPr>
                <w:ilvl w:val="0"/>
                <w:numId w:val="3"/>
              </w:numPr>
              <w:rPr>
                <w:rFonts w:ascii="Minion Pro" w:hAnsi="Minion Pro" w:cs="Minion Pro"/>
                <w:sz w:val="18"/>
                <w:szCs w:val="18"/>
              </w:rPr>
            </w:pPr>
            <w:r w:rsidRPr="00B546DD">
              <w:rPr>
                <w:rFonts w:ascii="Minion Pro" w:hAnsi="Minion Pro" w:cs="Minion Pro"/>
                <w:sz w:val="18"/>
                <w:szCs w:val="18"/>
              </w:rPr>
              <w:t>порядок заміщення працівника на період тимчасової відсутності (відпустка, навчання, хвороба тощо)</w:t>
            </w:r>
          </w:p>
          <w:p w:rsidR="00A00146" w:rsidRPr="00B546DD" w:rsidRDefault="00A00146" w:rsidP="00B546DD">
            <w:pPr>
              <w:pStyle w:val="a6"/>
              <w:numPr>
                <w:ilvl w:val="0"/>
                <w:numId w:val="3"/>
              </w:numPr>
              <w:rPr>
                <w:rFonts w:ascii="Minion Pro" w:hAnsi="Minion Pro" w:cs="Minion Pro"/>
                <w:sz w:val="18"/>
                <w:szCs w:val="18"/>
              </w:rPr>
            </w:pPr>
            <w:r w:rsidRPr="00B546DD">
              <w:rPr>
                <w:rFonts w:ascii="Minion Pro" w:hAnsi="Minion Pro" w:cs="Minion Pro"/>
                <w:sz w:val="18"/>
                <w:szCs w:val="18"/>
              </w:rPr>
              <w:t>умови оплати праці і преміювання</w:t>
            </w:r>
          </w:p>
          <w:p w:rsidR="00A00146" w:rsidRPr="00B546DD" w:rsidRDefault="00A00146" w:rsidP="00B546DD">
            <w:pPr>
              <w:pStyle w:val="a6"/>
              <w:numPr>
                <w:ilvl w:val="0"/>
                <w:numId w:val="3"/>
              </w:numPr>
            </w:pPr>
            <w:r w:rsidRPr="00B546DD">
              <w:rPr>
                <w:rFonts w:ascii="Minion Pro" w:hAnsi="Minion Pro" w:cs="Minion Pro"/>
                <w:sz w:val="18"/>
                <w:szCs w:val="18"/>
              </w:rPr>
              <w:t>інша інформація, з якою роботодавець вважає за необхідне ознайомити працівника під час прийняття на роботу</w:t>
            </w:r>
          </w:p>
        </w:tc>
      </w:tr>
      <w:tr w:rsidR="00A00146" w:rsidRPr="00B546DD" w:rsidTr="00B546DD">
        <w:trPr>
          <w:trHeight w:val="60"/>
        </w:trPr>
        <w:tc>
          <w:tcPr>
            <w:tcW w:w="7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146" w:rsidRPr="00B546DD" w:rsidRDefault="00A00146">
            <w:pPr>
              <w:pStyle w:val="a3"/>
              <w:suppressAutoHyphens w:val="0"/>
            </w:pPr>
            <w:r w:rsidRPr="00B546DD">
              <w:rPr>
                <w:rFonts w:ascii="Minion Pro" w:hAnsi="Minion Pro" w:cs="Minion Pro"/>
                <w:b/>
                <w:bCs/>
              </w:rPr>
              <w:t>Завдання та обов’язки</w:t>
            </w:r>
          </w:p>
        </w:tc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146" w:rsidRPr="00B546DD" w:rsidRDefault="00A00146" w:rsidP="00B546DD">
            <w:pPr>
              <w:pStyle w:val="a6"/>
              <w:numPr>
                <w:ilvl w:val="0"/>
                <w:numId w:val="3"/>
              </w:numPr>
              <w:rPr>
                <w:rFonts w:ascii="Minion Pro" w:hAnsi="Minion Pro" w:cs="Minion Pro"/>
                <w:sz w:val="18"/>
                <w:szCs w:val="18"/>
              </w:rPr>
            </w:pPr>
            <w:r w:rsidRPr="00B546DD">
              <w:rPr>
                <w:rFonts w:ascii="Minion Pro" w:hAnsi="Minion Pro" w:cs="Minion Pro"/>
                <w:sz w:val="18"/>
                <w:szCs w:val="18"/>
              </w:rPr>
              <w:t>конкретний, стислий перелік завдань, обов’язків та видів робіт, закріплених за працівником, за ступенем їх важливості й частоти виконання, починаючи з організаційно-юридичних ознак (керує, організовує, розглядає, забезпечує, готує, контролює, спостерігає, виконує, здійснює, бере участь тощо)</w:t>
            </w:r>
          </w:p>
          <w:p w:rsidR="00A00146" w:rsidRPr="00B546DD" w:rsidRDefault="00A00146" w:rsidP="00B546DD">
            <w:pPr>
              <w:pStyle w:val="a6"/>
              <w:numPr>
                <w:ilvl w:val="0"/>
                <w:numId w:val="3"/>
              </w:numPr>
              <w:rPr>
                <w:rFonts w:ascii="Minion Pro" w:hAnsi="Minion Pro" w:cs="Minion Pro"/>
                <w:sz w:val="18"/>
                <w:szCs w:val="18"/>
              </w:rPr>
            </w:pPr>
            <w:r w:rsidRPr="00B546DD">
              <w:rPr>
                <w:rFonts w:ascii="Minion Pro" w:hAnsi="Minion Pro" w:cs="Minion Pro"/>
                <w:sz w:val="18"/>
                <w:szCs w:val="18"/>
              </w:rPr>
              <w:t>окреслення самостійної ділянки роботи для працівника</w:t>
            </w:r>
          </w:p>
          <w:p w:rsidR="00A00146" w:rsidRPr="00B546DD" w:rsidRDefault="00A00146" w:rsidP="00B546DD">
            <w:pPr>
              <w:pStyle w:val="a6"/>
              <w:numPr>
                <w:ilvl w:val="0"/>
                <w:numId w:val="3"/>
              </w:numPr>
              <w:rPr>
                <w:rFonts w:ascii="Minion Pro" w:hAnsi="Minion Pro" w:cs="Minion Pro"/>
                <w:sz w:val="18"/>
                <w:szCs w:val="18"/>
              </w:rPr>
            </w:pPr>
            <w:r w:rsidRPr="00B546DD">
              <w:rPr>
                <w:rFonts w:ascii="Minion Pro" w:hAnsi="Minion Pro" w:cs="Minion Pro"/>
                <w:sz w:val="18"/>
                <w:szCs w:val="18"/>
              </w:rPr>
              <w:t>перелік об’єктів управління або зон обслуговування, закріплених за працівником</w:t>
            </w:r>
          </w:p>
          <w:p w:rsidR="00A00146" w:rsidRPr="00B546DD" w:rsidRDefault="00A00146" w:rsidP="00B546DD">
            <w:pPr>
              <w:pStyle w:val="a6"/>
              <w:numPr>
                <w:ilvl w:val="0"/>
                <w:numId w:val="3"/>
              </w:numPr>
            </w:pPr>
            <w:r w:rsidRPr="00B546DD">
              <w:rPr>
                <w:rFonts w:ascii="Minion Pro" w:hAnsi="Minion Pro" w:cs="Minion Pro"/>
                <w:spacing w:val="-2"/>
                <w:sz w:val="18"/>
                <w:szCs w:val="18"/>
              </w:rPr>
              <w:t>правила, норми та технічні вимоги, яких слід дотримуватися під час роботи, тощо</w:t>
            </w:r>
          </w:p>
        </w:tc>
      </w:tr>
      <w:tr w:rsidR="00A00146" w:rsidRPr="00B546DD" w:rsidTr="00B546DD">
        <w:trPr>
          <w:trHeight w:val="60"/>
        </w:trPr>
        <w:tc>
          <w:tcPr>
            <w:tcW w:w="7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146" w:rsidRPr="00B546DD" w:rsidRDefault="00A00146">
            <w:pPr>
              <w:pStyle w:val="a3"/>
              <w:suppressAutoHyphens w:val="0"/>
            </w:pPr>
            <w:r w:rsidRPr="00B546DD">
              <w:rPr>
                <w:rFonts w:ascii="Minion Pro" w:hAnsi="Minion Pro" w:cs="Minion Pro"/>
                <w:b/>
                <w:bCs/>
              </w:rPr>
              <w:t>Права</w:t>
            </w:r>
          </w:p>
        </w:tc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146" w:rsidRPr="00B546DD" w:rsidRDefault="00A00146" w:rsidP="00B546DD">
            <w:pPr>
              <w:pStyle w:val="a6"/>
              <w:numPr>
                <w:ilvl w:val="0"/>
                <w:numId w:val="3"/>
              </w:numPr>
            </w:pPr>
            <w:r w:rsidRPr="00B546DD">
              <w:rPr>
                <w:rFonts w:ascii="Minion Pro" w:hAnsi="Minion Pro" w:cs="Minion Pro"/>
                <w:sz w:val="18"/>
                <w:szCs w:val="18"/>
              </w:rPr>
              <w:t>повноваження працівника, що дають йому змогу виконувати завдання та обов’язки, покладені на нього</w:t>
            </w:r>
          </w:p>
        </w:tc>
      </w:tr>
      <w:tr w:rsidR="00A00146" w:rsidRPr="00B546DD" w:rsidTr="00B546DD">
        <w:trPr>
          <w:trHeight w:val="60"/>
        </w:trPr>
        <w:tc>
          <w:tcPr>
            <w:tcW w:w="7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146" w:rsidRPr="00B546DD" w:rsidRDefault="00A00146">
            <w:pPr>
              <w:pStyle w:val="a3"/>
              <w:suppressAutoHyphens w:val="0"/>
            </w:pPr>
            <w:r w:rsidRPr="00B546DD">
              <w:rPr>
                <w:rFonts w:ascii="Minion Pro" w:hAnsi="Minion Pro" w:cs="Minion Pro"/>
                <w:b/>
                <w:bCs/>
              </w:rPr>
              <w:t>Відповідальність</w:t>
            </w:r>
          </w:p>
        </w:tc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146" w:rsidRPr="00B546DD" w:rsidRDefault="00A00146" w:rsidP="00B546DD">
            <w:pPr>
              <w:pStyle w:val="a6"/>
              <w:numPr>
                <w:ilvl w:val="0"/>
                <w:numId w:val="3"/>
              </w:numPr>
              <w:rPr>
                <w:rFonts w:ascii="Minion Pro" w:hAnsi="Minion Pro" w:cs="Minion Pro"/>
                <w:sz w:val="18"/>
                <w:szCs w:val="18"/>
              </w:rPr>
            </w:pPr>
            <w:r w:rsidRPr="00B546DD">
              <w:rPr>
                <w:rFonts w:ascii="Minion Pro" w:hAnsi="Minion Pro" w:cs="Minion Pro"/>
                <w:sz w:val="18"/>
                <w:szCs w:val="18"/>
              </w:rPr>
              <w:t>критерії оцінювання якості та своєчасності виконання завдань, обов’язків і робіт</w:t>
            </w:r>
          </w:p>
          <w:p w:rsidR="00A00146" w:rsidRPr="00B546DD" w:rsidRDefault="00A00146" w:rsidP="00B546DD">
            <w:pPr>
              <w:pStyle w:val="a6"/>
              <w:numPr>
                <w:ilvl w:val="0"/>
                <w:numId w:val="3"/>
              </w:numPr>
            </w:pPr>
            <w:r w:rsidRPr="00B546DD">
              <w:rPr>
                <w:rFonts w:ascii="Minion Pro" w:hAnsi="Minion Pro" w:cs="Minion Pro"/>
                <w:sz w:val="18"/>
                <w:szCs w:val="18"/>
              </w:rPr>
              <w:t>ступінь персональної відповідальності працівника за невиконання, неякісне або несвоєчасне виконання завдань, обов’язків і робіт, за завдання матеріальних збитків, невживання належних заходів у межах своїх обов’язків та повноважень, порушення правил внутрішнього розпорядку, правил охорони праці, техніки безпеки тощо</w:t>
            </w:r>
          </w:p>
        </w:tc>
      </w:tr>
      <w:tr w:rsidR="00A00146" w:rsidRPr="00B546DD" w:rsidTr="00B546DD">
        <w:trPr>
          <w:trHeight w:val="60"/>
        </w:trPr>
        <w:tc>
          <w:tcPr>
            <w:tcW w:w="7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146" w:rsidRPr="00B546DD" w:rsidRDefault="00A00146">
            <w:pPr>
              <w:pStyle w:val="a3"/>
              <w:suppressAutoHyphens w:val="0"/>
            </w:pPr>
            <w:r w:rsidRPr="00B546DD">
              <w:rPr>
                <w:rFonts w:ascii="Minion Pro" w:hAnsi="Minion Pro" w:cs="Minion Pro"/>
                <w:b/>
                <w:bCs/>
              </w:rPr>
              <w:t>Повинен знати</w:t>
            </w:r>
          </w:p>
        </w:tc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146" w:rsidRPr="00B546DD" w:rsidRDefault="00A00146" w:rsidP="00B546DD">
            <w:pPr>
              <w:pStyle w:val="a6"/>
              <w:numPr>
                <w:ilvl w:val="0"/>
                <w:numId w:val="3"/>
              </w:numPr>
              <w:rPr>
                <w:rFonts w:ascii="Minion Pro" w:hAnsi="Minion Pro" w:cs="Minion Pro"/>
                <w:sz w:val="18"/>
                <w:szCs w:val="18"/>
              </w:rPr>
            </w:pPr>
            <w:r w:rsidRPr="00B546DD">
              <w:rPr>
                <w:rFonts w:ascii="Minion Pro" w:hAnsi="Minion Pro" w:cs="Minion Pro"/>
                <w:sz w:val="18"/>
                <w:szCs w:val="18"/>
              </w:rPr>
              <w:t>перелік мінімальних вимог до спеціальних знань, умінь, майстерності працівника відповідно до реальних умов його діяльності, особливостей устаткування, інструментів, матеріалів тощо, достатніх для якісного виконання покладених на нього завдань та обов’язків</w:t>
            </w:r>
          </w:p>
          <w:p w:rsidR="00A00146" w:rsidRPr="00B546DD" w:rsidRDefault="00A00146" w:rsidP="00B546DD">
            <w:pPr>
              <w:pStyle w:val="a6"/>
              <w:numPr>
                <w:ilvl w:val="0"/>
                <w:numId w:val="3"/>
              </w:numPr>
            </w:pPr>
            <w:r w:rsidRPr="00B546DD">
              <w:rPr>
                <w:rFonts w:ascii="Minion Pro" w:hAnsi="Minion Pro" w:cs="Minion Pro"/>
                <w:sz w:val="18"/>
                <w:szCs w:val="18"/>
              </w:rPr>
              <w:t>вимоги щодо знань законодавчих, нормативно-правових, керівних та розпорядчих документів, необхідних у роботі працівника</w:t>
            </w:r>
          </w:p>
        </w:tc>
      </w:tr>
      <w:tr w:rsidR="00A00146" w:rsidRPr="00B546DD" w:rsidTr="00B546DD">
        <w:trPr>
          <w:trHeight w:val="60"/>
        </w:trPr>
        <w:tc>
          <w:tcPr>
            <w:tcW w:w="7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146" w:rsidRPr="00B546DD" w:rsidRDefault="00A00146" w:rsidP="00B546DD">
            <w:pPr>
              <w:pStyle w:val="a3"/>
              <w:suppressAutoHyphens w:val="0"/>
            </w:pPr>
            <w:r w:rsidRPr="00B546DD">
              <w:rPr>
                <w:rFonts w:ascii="Minion Pro" w:hAnsi="Minion Pro" w:cs="Minion Pro"/>
                <w:b/>
                <w:bCs/>
              </w:rPr>
              <w:t>Кваліфікаційні</w:t>
            </w:r>
            <w:r w:rsidR="00B546DD" w:rsidRPr="00B546DD">
              <w:rPr>
                <w:rFonts w:ascii="Minion Pro" w:hAnsi="Minion Pro" w:cs="Minion Pro"/>
                <w:b/>
                <w:bCs/>
              </w:rPr>
              <w:t xml:space="preserve"> </w:t>
            </w:r>
            <w:r w:rsidRPr="00B546DD">
              <w:rPr>
                <w:rFonts w:ascii="Minion Pro" w:hAnsi="Minion Pro" w:cs="Minion Pro"/>
                <w:b/>
                <w:bCs/>
              </w:rPr>
              <w:t>вимоги</w:t>
            </w:r>
          </w:p>
        </w:tc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146" w:rsidRPr="00B546DD" w:rsidRDefault="00A00146" w:rsidP="00B546DD">
            <w:pPr>
              <w:pStyle w:val="a6"/>
              <w:numPr>
                <w:ilvl w:val="0"/>
                <w:numId w:val="3"/>
              </w:numPr>
              <w:rPr>
                <w:rFonts w:ascii="Minion Pro" w:hAnsi="Minion Pro" w:cs="Minion Pro"/>
                <w:sz w:val="18"/>
                <w:szCs w:val="18"/>
              </w:rPr>
            </w:pPr>
            <w:r w:rsidRPr="00B546DD">
              <w:rPr>
                <w:rFonts w:ascii="Minion Pro" w:hAnsi="Minion Pro" w:cs="Minion Pro"/>
                <w:sz w:val="18"/>
                <w:szCs w:val="18"/>
              </w:rPr>
              <w:t>вимоги до освіти, освітньо-кваліфікаційних рівнів (магістр, спеціаліст, бакалавр, молодший спеціаліст), професійної підготовки та досвіду роботи</w:t>
            </w:r>
          </w:p>
          <w:p w:rsidR="00A00146" w:rsidRPr="00B546DD" w:rsidRDefault="00A00146" w:rsidP="00B546DD">
            <w:pPr>
              <w:pStyle w:val="a6"/>
              <w:numPr>
                <w:ilvl w:val="0"/>
                <w:numId w:val="3"/>
              </w:numPr>
            </w:pPr>
            <w:r w:rsidRPr="00B546DD">
              <w:rPr>
                <w:rFonts w:ascii="Minion Pro" w:hAnsi="Minion Pro" w:cs="Minion Pro"/>
                <w:sz w:val="18"/>
                <w:szCs w:val="18"/>
              </w:rPr>
              <w:t>додаткові особливі вимоги щодо належного виконання завдань та обов’язків (за потреби)</w:t>
            </w:r>
          </w:p>
        </w:tc>
      </w:tr>
      <w:tr w:rsidR="00A00146" w:rsidRPr="00B546DD" w:rsidTr="00B546DD">
        <w:trPr>
          <w:trHeight w:val="60"/>
        </w:trPr>
        <w:tc>
          <w:tcPr>
            <w:tcW w:w="7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146" w:rsidRPr="00B546DD" w:rsidRDefault="00B546DD" w:rsidP="00B546DD">
            <w:pPr>
              <w:pStyle w:val="a3"/>
              <w:suppressAutoHyphens w:val="0"/>
            </w:pPr>
            <w:r w:rsidRPr="00B546DD">
              <w:rPr>
                <w:rFonts w:ascii="Minion Pro" w:hAnsi="Minion Pro" w:cs="Minion Pro"/>
                <w:b/>
                <w:bCs/>
              </w:rPr>
              <w:t>Взаємовідносини (зв’язки) за </w:t>
            </w:r>
            <w:r w:rsidR="00A00146" w:rsidRPr="00B546DD">
              <w:rPr>
                <w:rFonts w:ascii="Minion Pro" w:hAnsi="Minion Pro" w:cs="Minion Pro"/>
                <w:b/>
                <w:bCs/>
              </w:rPr>
              <w:t>посадою (професією)</w:t>
            </w:r>
          </w:p>
        </w:tc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146" w:rsidRPr="00B546DD" w:rsidRDefault="00A00146" w:rsidP="00B546DD">
            <w:pPr>
              <w:pStyle w:val="a6"/>
              <w:numPr>
                <w:ilvl w:val="0"/>
                <w:numId w:val="3"/>
              </w:numPr>
              <w:rPr>
                <w:rFonts w:ascii="Minion Pro" w:hAnsi="Minion Pro" w:cs="Minion Pro"/>
                <w:sz w:val="18"/>
                <w:szCs w:val="18"/>
              </w:rPr>
            </w:pPr>
            <w:r w:rsidRPr="00B546DD">
              <w:rPr>
                <w:rFonts w:ascii="Minion Pro" w:hAnsi="Minion Pro" w:cs="Minion Pro"/>
                <w:sz w:val="18"/>
                <w:szCs w:val="18"/>
              </w:rPr>
              <w:t>коло основних взаємовідносин працівника під час виконання покладених на нього завдань та обов’язків із працівниками свого або інших структурних підрозділів, а також зі сторонніми підприємствами, організаціями, установами, з якими працівник має службові взаємовідносини</w:t>
            </w:r>
          </w:p>
          <w:p w:rsidR="00A00146" w:rsidRPr="00B546DD" w:rsidRDefault="00A00146" w:rsidP="00B546DD">
            <w:pPr>
              <w:pStyle w:val="a6"/>
              <w:numPr>
                <w:ilvl w:val="0"/>
                <w:numId w:val="3"/>
              </w:numPr>
            </w:pPr>
            <w:r w:rsidRPr="00B546DD">
              <w:rPr>
                <w:rFonts w:ascii="Minion Pro" w:hAnsi="Minion Pro" w:cs="Minion Pro"/>
                <w:sz w:val="18"/>
                <w:szCs w:val="18"/>
              </w:rPr>
              <w:t>терміни отримання та надання взаємної інформації (за наявності), порядок погодження та затвердження відповідних документів тощо</w:t>
            </w:r>
          </w:p>
        </w:tc>
      </w:tr>
    </w:tbl>
    <w:p w:rsidR="00A00146" w:rsidRPr="00B546DD" w:rsidRDefault="00A00146" w:rsidP="00A00146">
      <w:pPr>
        <w:pStyle w:val="a3"/>
        <w:rPr>
          <w:rFonts w:ascii="Minion Pro" w:hAnsi="Minion Pro" w:cs="Minion Pro"/>
        </w:rPr>
      </w:pPr>
    </w:p>
    <w:p w:rsidR="00A00146" w:rsidRPr="00B546DD" w:rsidRDefault="00A00146" w:rsidP="00A00146">
      <w:pPr>
        <w:pStyle w:val="a4"/>
        <w:rPr>
          <w:rFonts w:ascii="Minion Pro" w:hAnsi="Minion Pro" w:cs="Minion Pro"/>
        </w:rPr>
      </w:pPr>
      <w:r w:rsidRPr="00B546DD">
        <w:rPr>
          <w:rFonts w:ascii="Minion Pro" w:hAnsi="Minion Pro" w:cs="Minion Pro"/>
          <w:b/>
          <w:bCs/>
        </w:rPr>
        <w:t>Примітка.</w:t>
      </w:r>
      <w:r w:rsidRPr="00B546DD">
        <w:rPr>
          <w:rFonts w:ascii="Minion Pro" w:hAnsi="Minion Pro" w:cs="Minion Pro"/>
        </w:rPr>
        <w:t xml:space="preserve"> </w:t>
      </w:r>
      <w:r w:rsidRPr="00B546DD">
        <w:rPr>
          <w:rFonts w:ascii="Minion Pro" w:hAnsi="Minion Pro" w:cs="Minion Pro"/>
        </w:rPr>
        <w:br/>
        <w:t>Складено відповідно до Методичних рекомендацій щодо формування кваліфікаційних характеристик професій працівників, затверджених наказом Міністерства соціальної політики України, Міністерства освіти і науки, молоді та спорту України від 16.12.2011 № 547/1438.</w:t>
      </w:r>
    </w:p>
    <w:p w:rsidR="00CA4CC3" w:rsidRPr="00B546DD" w:rsidRDefault="00CA4CC3">
      <w:pPr>
        <w:rPr>
          <w:lang w:val="uk-UA"/>
        </w:rPr>
      </w:pPr>
    </w:p>
    <w:sectPr w:rsidR="00CA4CC3" w:rsidRPr="00B546DD" w:rsidSect="00AE2477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833"/>
    <w:multiLevelType w:val="hybridMultilevel"/>
    <w:tmpl w:val="17E61B60"/>
    <w:lvl w:ilvl="0" w:tplc="0422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472E6462"/>
    <w:multiLevelType w:val="hybridMultilevel"/>
    <w:tmpl w:val="A9ACC13A"/>
    <w:lvl w:ilvl="0" w:tplc="0422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781A3F11"/>
    <w:multiLevelType w:val="hybridMultilevel"/>
    <w:tmpl w:val="69FC42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46"/>
    <w:rsid w:val="00A00146"/>
    <w:rsid w:val="00B546DD"/>
    <w:rsid w:val="00CA4CC3"/>
    <w:rsid w:val="00ED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4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Заголовок_циклограма (Важливі справи-Памятка)"/>
    <w:basedOn w:val="a"/>
    <w:uiPriority w:val="99"/>
    <w:rsid w:val="00A00146"/>
    <w:pPr>
      <w:suppressAutoHyphens/>
      <w:autoSpaceDE w:val="0"/>
      <w:autoSpaceDN w:val="0"/>
      <w:adjustRightInd w:val="0"/>
      <w:spacing w:before="170" w:after="227" w:line="300" w:lineRule="atLeast"/>
      <w:jc w:val="center"/>
      <w:textAlignment w:val="center"/>
    </w:pPr>
    <w:rPr>
      <w:rFonts w:ascii="Cambria" w:hAnsi="Cambria" w:cs="Cambria"/>
      <w:b/>
      <w:bCs/>
      <w:color w:val="000000"/>
      <w:sz w:val="26"/>
      <w:szCs w:val="26"/>
      <w:lang w:val="uk-UA"/>
    </w:rPr>
  </w:style>
  <w:style w:type="paragraph" w:customStyle="1" w:styleId="a3">
    <w:name w:val="Додаток_таблица_основной текст (Додаток)"/>
    <w:basedOn w:val="a"/>
    <w:uiPriority w:val="99"/>
    <w:rsid w:val="00A00146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paragraph" w:customStyle="1" w:styleId="a4">
    <w:name w:val="Статья_сноска (Статья)"/>
    <w:basedOn w:val="a"/>
    <w:uiPriority w:val="99"/>
    <w:rsid w:val="00A00146"/>
    <w:pPr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Cambria" w:hAnsi="Cambria" w:cs="Cambria"/>
      <w:color w:val="000000"/>
      <w:sz w:val="15"/>
      <w:szCs w:val="15"/>
      <w:lang w:val="uk-UA"/>
    </w:rPr>
  </w:style>
  <w:style w:type="paragraph" w:customStyle="1" w:styleId="a5">
    <w:name w:val="Додаток_таблица_шапка (Додаток)"/>
    <w:basedOn w:val="a"/>
    <w:uiPriority w:val="99"/>
    <w:rsid w:val="00A00146"/>
    <w:pPr>
      <w:autoSpaceDE w:val="0"/>
      <w:autoSpaceDN w:val="0"/>
      <w:adjustRightInd w:val="0"/>
      <w:spacing w:after="0" w:line="190" w:lineRule="atLeast"/>
      <w:jc w:val="center"/>
      <w:textAlignment w:val="center"/>
    </w:pPr>
    <w:rPr>
      <w:rFonts w:ascii="Cambria" w:hAnsi="Cambria" w:cs="Cambria"/>
      <w:b/>
      <w:bCs/>
      <w:color w:val="000000"/>
      <w:sz w:val="17"/>
      <w:szCs w:val="17"/>
      <w:lang w:val="uk-UA"/>
    </w:rPr>
  </w:style>
  <w:style w:type="paragraph" w:customStyle="1" w:styleId="a6">
    <w:name w:val="Таблица_список (Таблица)"/>
    <w:basedOn w:val="a"/>
    <w:uiPriority w:val="99"/>
    <w:rsid w:val="00A00146"/>
    <w:pPr>
      <w:suppressAutoHyphens/>
      <w:autoSpaceDE w:val="0"/>
      <w:autoSpaceDN w:val="0"/>
      <w:adjustRightInd w:val="0"/>
      <w:spacing w:after="0" w:line="220" w:lineRule="atLeast"/>
      <w:ind w:left="397" w:hanging="170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character" w:styleId="a7">
    <w:name w:val="Hyperlink"/>
    <w:basedOn w:val="a0"/>
    <w:uiPriority w:val="99"/>
    <w:unhideWhenUsed/>
    <w:rsid w:val="00B546D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54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4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Заголовок_циклограма (Важливі справи-Памятка)"/>
    <w:basedOn w:val="a"/>
    <w:uiPriority w:val="99"/>
    <w:rsid w:val="00A00146"/>
    <w:pPr>
      <w:suppressAutoHyphens/>
      <w:autoSpaceDE w:val="0"/>
      <w:autoSpaceDN w:val="0"/>
      <w:adjustRightInd w:val="0"/>
      <w:spacing w:before="170" w:after="227" w:line="300" w:lineRule="atLeast"/>
      <w:jc w:val="center"/>
      <w:textAlignment w:val="center"/>
    </w:pPr>
    <w:rPr>
      <w:rFonts w:ascii="Cambria" w:hAnsi="Cambria" w:cs="Cambria"/>
      <w:b/>
      <w:bCs/>
      <w:color w:val="000000"/>
      <w:sz w:val="26"/>
      <w:szCs w:val="26"/>
      <w:lang w:val="uk-UA"/>
    </w:rPr>
  </w:style>
  <w:style w:type="paragraph" w:customStyle="1" w:styleId="a3">
    <w:name w:val="Додаток_таблица_основной текст (Додаток)"/>
    <w:basedOn w:val="a"/>
    <w:uiPriority w:val="99"/>
    <w:rsid w:val="00A00146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paragraph" w:customStyle="1" w:styleId="a4">
    <w:name w:val="Статья_сноска (Статья)"/>
    <w:basedOn w:val="a"/>
    <w:uiPriority w:val="99"/>
    <w:rsid w:val="00A00146"/>
    <w:pPr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Cambria" w:hAnsi="Cambria" w:cs="Cambria"/>
      <w:color w:val="000000"/>
      <w:sz w:val="15"/>
      <w:szCs w:val="15"/>
      <w:lang w:val="uk-UA"/>
    </w:rPr>
  </w:style>
  <w:style w:type="paragraph" w:customStyle="1" w:styleId="a5">
    <w:name w:val="Додаток_таблица_шапка (Додаток)"/>
    <w:basedOn w:val="a"/>
    <w:uiPriority w:val="99"/>
    <w:rsid w:val="00A00146"/>
    <w:pPr>
      <w:autoSpaceDE w:val="0"/>
      <w:autoSpaceDN w:val="0"/>
      <w:adjustRightInd w:val="0"/>
      <w:spacing w:after="0" w:line="190" w:lineRule="atLeast"/>
      <w:jc w:val="center"/>
      <w:textAlignment w:val="center"/>
    </w:pPr>
    <w:rPr>
      <w:rFonts w:ascii="Cambria" w:hAnsi="Cambria" w:cs="Cambria"/>
      <w:b/>
      <w:bCs/>
      <w:color w:val="000000"/>
      <w:sz w:val="17"/>
      <w:szCs w:val="17"/>
      <w:lang w:val="uk-UA"/>
    </w:rPr>
  </w:style>
  <w:style w:type="paragraph" w:customStyle="1" w:styleId="a6">
    <w:name w:val="Таблица_список (Таблица)"/>
    <w:basedOn w:val="a"/>
    <w:uiPriority w:val="99"/>
    <w:rsid w:val="00A00146"/>
    <w:pPr>
      <w:suppressAutoHyphens/>
      <w:autoSpaceDE w:val="0"/>
      <w:autoSpaceDN w:val="0"/>
      <w:adjustRightInd w:val="0"/>
      <w:spacing w:after="0" w:line="220" w:lineRule="atLeast"/>
      <w:ind w:left="397" w:hanging="170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character" w:styleId="a7">
    <w:name w:val="Hyperlink"/>
    <w:basedOn w:val="a0"/>
    <w:uiPriority w:val="99"/>
    <w:unhideWhenUsed/>
    <w:rsid w:val="00B546D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54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drada.com.ua/article/1282-qqq-17-m4-27-04-2017-yak-sklki-posadovih-nstruktsy-rozroblyuyut-u-doshklnomu-zakl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2076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Метелица Владимир</dc:creator>
  <cp:lastModifiedBy>Сергій Плахотнюк</cp:lastModifiedBy>
  <cp:revision>3</cp:revision>
  <dcterms:created xsi:type="dcterms:W3CDTF">2017-05-05T08:01:00Z</dcterms:created>
  <dcterms:modified xsi:type="dcterms:W3CDTF">2017-05-05T08:03:00Z</dcterms:modified>
</cp:coreProperties>
</file>